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CC1" w:rsidRDefault="00192F6F">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w:t>
      </w:r>
      <w:r>
        <w:rPr>
          <w:rFonts w:ascii="Arial" w:hAnsi="Arial" w:cs="Arial"/>
          <w:b/>
          <w:bCs/>
          <w:snapToGrid w:val="0"/>
          <w:kern w:val="0"/>
          <w:sz w:val="28"/>
          <w:szCs w:val="28"/>
          <w:lang w:val="en-GB"/>
        </w:rPr>
        <w:t>10</w:t>
      </w:r>
      <w:r>
        <w:rPr>
          <w:rFonts w:ascii="Arial" w:hAnsi="Arial" w:cs="Arial"/>
          <w:b/>
          <w:bCs/>
          <w:snapToGrid w:val="0"/>
          <w:kern w:val="0"/>
          <w:sz w:val="28"/>
          <w:szCs w:val="28"/>
        </w:rPr>
        <w:t>5</w:t>
      </w:r>
      <w:r>
        <w:rPr>
          <w:rFonts w:ascii="Arial" w:hAnsi="Arial" w:cs="Arial"/>
          <w:b/>
          <w:bCs/>
          <w:snapToGrid w:val="0"/>
          <w:kern w:val="0"/>
          <w:sz w:val="28"/>
          <w:szCs w:val="28"/>
        </w:rPr>
        <w:t xml:space="preserve">      </w:t>
      </w:r>
      <w:r>
        <w:rPr>
          <w:rFonts w:ascii="Arial" w:hAnsi="Arial" w:cs="Arial"/>
          <w:b/>
          <w:bCs/>
          <w:snapToGrid w:val="0"/>
          <w:kern w:val="0"/>
          <w:sz w:val="28"/>
          <w:szCs w:val="28"/>
          <w:lang w:val="en-GB"/>
        </w:rPr>
        <w:tab/>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sidR="00043FB6">
        <w:rPr>
          <w:rFonts w:ascii="Arial" w:hAnsi="Arial" w:cs="Arial"/>
          <w:b/>
          <w:bCs/>
          <w:snapToGrid w:val="0"/>
          <w:kern w:val="0"/>
          <w:sz w:val="28"/>
          <w:szCs w:val="28"/>
        </w:rPr>
        <w:tab/>
      </w:r>
      <w:r>
        <w:rPr>
          <w:rFonts w:ascii="Arial" w:hAnsi="Arial" w:cs="Arial" w:hint="eastAsia"/>
          <w:b/>
          <w:bCs/>
          <w:snapToGrid w:val="0"/>
          <w:kern w:val="0"/>
          <w:sz w:val="28"/>
          <w:szCs w:val="28"/>
        </w:rPr>
        <w:t>R2-1</w:t>
      </w:r>
      <w:r>
        <w:rPr>
          <w:rFonts w:ascii="Arial" w:hAnsi="Arial" w:cs="Arial"/>
          <w:b/>
          <w:bCs/>
          <w:snapToGrid w:val="0"/>
          <w:kern w:val="0"/>
          <w:sz w:val="28"/>
          <w:szCs w:val="28"/>
        </w:rPr>
        <w:t>900801</w:t>
      </w:r>
    </w:p>
    <w:p w:rsidR="00477CC1" w:rsidRDefault="00192F6F">
      <w:pPr>
        <w:overflowPunct w:val="0"/>
        <w:autoSpaceDE w:val="0"/>
        <w:autoSpaceDN w:val="0"/>
        <w:adjustRightInd w:val="0"/>
        <w:snapToGrid w:val="0"/>
        <w:jc w:val="left"/>
        <w:textAlignment w:val="baseline"/>
        <w:rPr>
          <w:rFonts w:ascii="Arial" w:hAnsi="Arial" w:cs="Arial"/>
          <w:b/>
          <w:bCs/>
          <w:snapToGrid w:val="0"/>
          <w:kern w:val="0"/>
          <w:sz w:val="28"/>
          <w:szCs w:val="28"/>
          <w:lang w:val="en-GB"/>
        </w:rPr>
      </w:pPr>
      <w:r>
        <w:rPr>
          <w:rFonts w:ascii="Arial" w:hAnsi="Arial" w:cs="Arial"/>
          <w:b/>
          <w:bCs/>
          <w:snapToGrid w:val="0"/>
          <w:kern w:val="0"/>
          <w:sz w:val="28"/>
          <w:szCs w:val="28"/>
          <w:lang w:val="en-GB"/>
        </w:rPr>
        <w:t>Athens, Greece, 25th February - 1st March 2019</w:t>
      </w:r>
    </w:p>
    <w:p w:rsidR="00477CC1" w:rsidRDefault="00477CC1">
      <w:pPr>
        <w:overflowPunct w:val="0"/>
        <w:autoSpaceDE w:val="0"/>
        <w:autoSpaceDN w:val="0"/>
        <w:adjustRightInd w:val="0"/>
        <w:snapToGrid w:val="0"/>
        <w:jc w:val="left"/>
        <w:textAlignment w:val="baseline"/>
        <w:rPr>
          <w:rFonts w:ascii="Arial" w:hAnsi="Arial" w:cs="Arial"/>
          <w:b/>
          <w:bCs/>
          <w:kern w:val="0"/>
          <w:sz w:val="28"/>
          <w:szCs w:val="28"/>
        </w:rPr>
      </w:pPr>
    </w:p>
    <w:p w:rsidR="00477CC1" w:rsidRDefault="00192F6F">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 xml:space="preserve">ZTE Corporation, </w:t>
      </w:r>
      <w:proofErr w:type="spellStart"/>
      <w:r>
        <w:rPr>
          <w:rFonts w:ascii="Arial" w:hAnsi="Arial" w:cs="Arial"/>
          <w:b/>
          <w:bCs/>
          <w:snapToGrid w:val="0"/>
          <w:kern w:val="0"/>
          <w:sz w:val="28"/>
          <w:szCs w:val="28"/>
        </w:rPr>
        <w:t>Sanechips</w:t>
      </w:r>
      <w:proofErr w:type="spellEnd"/>
    </w:p>
    <w:p w:rsidR="00477CC1" w:rsidRDefault="00192F6F">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t>Early measurement reporting for RRC idle and inactive state</w:t>
      </w:r>
    </w:p>
    <w:p w:rsidR="00477CC1" w:rsidRDefault="00192F6F">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bookmarkStart w:id="0" w:name="Source"/>
      <w:bookmarkEnd w:id="0"/>
      <w:r>
        <w:rPr>
          <w:rFonts w:ascii="Arial" w:hAnsi="Arial" w:cs="Arial"/>
          <w:b/>
          <w:bCs/>
          <w:snapToGrid w:val="0"/>
          <w:kern w:val="0"/>
          <w:sz w:val="28"/>
          <w:szCs w:val="28"/>
        </w:rPr>
        <w:tab/>
      </w:r>
      <w:r>
        <w:rPr>
          <w:rFonts w:ascii="Arial" w:hAnsi="Arial" w:cs="Arial" w:hint="eastAsia"/>
          <w:b/>
          <w:bCs/>
          <w:snapToGrid w:val="0"/>
          <w:kern w:val="0"/>
          <w:sz w:val="28"/>
          <w:szCs w:val="28"/>
        </w:rPr>
        <w:t>11.10.3</w:t>
      </w:r>
    </w:p>
    <w:p w:rsidR="00477CC1" w:rsidRDefault="00192F6F">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hint="eastAsia"/>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ascii="Arial" w:hAnsi="Arial" w:cs="Arial" w:hint="eastAsia"/>
          <w:b/>
          <w:bCs/>
          <w:snapToGrid w:val="0"/>
          <w:kern w:val="0"/>
          <w:sz w:val="28"/>
          <w:szCs w:val="28"/>
        </w:rPr>
        <w:t xml:space="preserve"> and Decision</w:t>
      </w:r>
    </w:p>
    <w:p w:rsidR="00477CC1" w:rsidRDefault="00192F6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77CC1" w:rsidRDefault="00192F6F">
      <w:pPr>
        <w:rPr>
          <w:szCs w:val="21"/>
        </w:rPr>
      </w:pPr>
      <w:r>
        <w:rPr>
          <w:szCs w:val="21"/>
        </w:rPr>
        <w:t>One target of this WI is to support early measurement</w:t>
      </w:r>
      <w:r w:rsidR="00CC4132">
        <w:rPr>
          <w:szCs w:val="21"/>
        </w:rPr>
        <w:t xml:space="preserve"> </w:t>
      </w:r>
      <w:r>
        <w:rPr>
          <w:szCs w:val="21"/>
        </w:rPr>
        <w:t>[1] as addressed below.</w:t>
      </w:r>
    </w:p>
    <w:tbl>
      <w:tblPr>
        <w:tblStyle w:val="TableGrid"/>
        <w:tblW w:w="8819" w:type="dxa"/>
        <w:jc w:val="center"/>
        <w:tblInd w:w="-297" w:type="dxa"/>
        <w:tblLayout w:type="fixed"/>
        <w:tblLook w:val="04A0"/>
      </w:tblPr>
      <w:tblGrid>
        <w:gridCol w:w="8819"/>
      </w:tblGrid>
      <w:tr w:rsidR="00477CC1">
        <w:trPr>
          <w:jc w:val="center"/>
        </w:trPr>
        <w:tc>
          <w:tcPr>
            <w:tcW w:w="8819" w:type="dxa"/>
          </w:tcPr>
          <w:p w:rsidR="00477CC1" w:rsidRDefault="00192F6F">
            <w:pPr>
              <w:numPr>
                <w:ilvl w:val="0"/>
                <w:numId w:val="4"/>
              </w:numPr>
              <w:spacing w:after="0"/>
              <w:rPr>
                <w:bCs/>
                <w:i/>
                <w:iCs/>
              </w:rPr>
            </w:pPr>
            <w:r>
              <w:rPr>
                <w:b/>
                <w:bCs/>
                <w:i/>
                <w:iCs/>
              </w:rPr>
              <w:t xml:space="preserve">Early Measurement reporting: </w:t>
            </w:r>
            <w:r>
              <w:rPr>
                <w:bCs/>
                <w:i/>
                <w:iCs/>
              </w:rPr>
              <w:t>Early and fast reporting of measurements information availability from neighbor and serving cells to reduce delay</w:t>
            </w:r>
            <w:r>
              <w:rPr>
                <w:bCs/>
                <w:i/>
                <w:iCs/>
              </w:rPr>
              <w:t xml:space="preserve"> setting up MR-DC and/or CA. [RAN2, RAN4]</w:t>
            </w:r>
          </w:p>
          <w:p w:rsidR="00477CC1" w:rsidRDefault="00192F6F">
            <w:pPr>
              <w:numPr>
                <w:ilvl w:val="1"/>
                <w:numId w:val="4"/>
              </w:numPr>
              <w:spacing w:after="0"/>
              <w:rPr>
                <w:bCs/>
                <w:i/>
                <w:iCs/>
              </w:rPr>
            </w:pPr>
            <w:r>
              <w:rPr>
                <w:bCs/>
                <w:i/>
                <w:iCs/>
              </w:rPr>
              <w:t>This objective applies to MR-DC, NR-NR DC and CA</w:t>
            </w:r>
          </w:p>
          <w:p w:rsidR="00477CC1" w:rsidRDefault="00192F6F">
            <w:pPr>
              <w:numPr>
                <w:ilvl w:val="1"/>
                <w:numId w:val="4"/>
              </w:numPr>
              <w:spacing w:after="0"/>
              <w:rPr>
                <w:bCs/>
                <w:i/>
                <w:iCs/>
              </w:rPr>
            </w:pPr>
            <w:r>
              <w:rPr>
                <w:bCs/>
                <w:i/>
                <w:iCs/>
              </w:rPr>
              <w:t>The objective should consider measurements in IDLE, INACTIVE mode and CONNECTED mode</w:t>
            </w:r>
          </w:p>
          <w:p w:rsidR="00477CC1" w:rsidRDefault="00192F6F">
            <w:pPr>
              <w:numPr>
                <w:ilvl w:val="1"/>
                <w:numId w:val="4"/>
              </w:numPr>
              <w:spacing w:after="0"/>
              <w:rPr>
                <w:bCs/>
                <w:i/>
                <w:iCs/>
              </w:rPr>
            </w:pPr>
            <w:r>
              <w:rPr>
                <w:bCs/>
                <w:i/>
                <w:iCs/>
              </w:rPr>
              <w:t>The impacts on UE power consumption should be minimized</w:t>
            </w:r>
          </w:p>
          <w:p w:rsidR="00477CC1" w:rsidRDefault="00192F6F">
            <w:pPr>
              <w:numPr>
                <w:ilvl w:val="1"/>
                <w:numId w:val="4"/>
              </w:numPr>
              <w:spacing w:after="0"/>
              <w:rPr>
                <w:bCs/>
                <w:color w:val="FF0000"/>
              </w:rPr>
            </w:pPr>
            <w:r>
              <w:rPr>
                <w:bCs/>
                <w:i/>
                <w:iCs/>
              </w:rPr>
              <w:t xml:space="preserve">The LTE Rel-15 </w:t>
            </w:r>
            <w:proofErr w:type="spellStart"/>
            <w:r>
              <w:rPr>
                <w:bCs/>
                <w:i/>
                <w:iCs/>
              </w:rPr>
              <w:t>euCA</w:t>
            </w:r>
            <w:proofErr w:type="spellEnd"/>
            <w:r>
              <w:rPr>
                <w:bCs/>
                <w:i/>
                <w:iCs/>
              </w:rPr>
              <w:t xml:space="preserve"> work</w:t>
            </w:r>
            <w:r>
              <w:rPr>
                <w:bCs/>
                <w:i/>
                <w:iCs/>
              </w:rPr>
              <w:t xml:space="preserve"> should be utilized, when applicable</w:t>
            </w:r>
          </w:p>
        </w:tc>
      </w:tr>
    </w:tbl>
    <w:p w:rsidR="00477CC1" w:rsidRDefault="00192F6F">
      <w:pPr>
        <w:rPr>
          <w:szCs w:val="21"/>
        </w:rPr>
      </w:pPr>
      <w:r>
        <w:rPr>
          <w:szCs w:val="21"/>
        </w:rPr>
        <w:t>This contribution provides consideration</w:t>
      </w:r>
      <w:r w:rsidR="00CC4132">
        <w:rPr>
          <w:szCs w:val="21"/>
        </w:rPr>
        <w:t>s</w:t>
      </w:r>
      <w:r>
        <w:rPr>
          <w:szCs w:val="21"/>
        </w:rPr>
        <w:t xml:space="preserve"> on the scenarios as well as applicability of LTE R15 </w:t>
      </w:r>
      <w:proofErr w:type="spellStart"/>
      <w:r>
        <w:rPr>
          <w:szCs w:val="21"/>
        </w:rPr>
        <w:t>euCA</w:t>
      </w:r>
      <w:proofErr w:type="spellEnd"/>
      <w:r>
        <w:rPr>
          <w:szCs w:val="21"/>
        </w:rPr>
        <w:t xml:space="preserve"> works. Further, issues related to early measurement in NR CA, NR-NR DC, MR-DC for both IDLE, INACTIVE mode are </w:t>
      </w:r>
      <w:r>
        <w:rPr>
          <w:szCs w:val="21"/>
        </w:rPr>
        <w:t>discussed.</w:t>
      </w:r>
    </w:p>
    <w:p w:rsidR="00477CC1" w:rsidRDefault="00192F6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477CC1" w:rsidRDefault="002C1D85">
      <w:pPr>
        <w:rPr>
          <w:szCs w:val="21"/>
        </w:rPr>
      </w:pPr>
      <w:r>
        <w:rPr>
          <w:szCs w:val="21"/>
        </w:rPr>
        <w:t>The main motivation for</w:t>
      </w:r>
      <w:r w:rsidR="00192F6F">
        <w:rPr>
          <w:szCs w:val="21"/>
        </w:rPr>
        <w:t xml:space="preserve"> </w:t>
      </w:r>
      <w:r w:rsidR="00192F6F">
        <w:rPr>
          <w:szCs w:val="21"/>
        </w:rPr>
        <w:t xml:space="preserve">early measurement </w:t>
      </w:r>
      <w:r>
        <w:rPr>
          <w:szCs w:val="21"/>
        </w:rPr>
        <w:t xml:space="preserve">reporting </w:t>
      </w:r>
      <w:r w:rsidR="00192F6F">
        <w:rPr>
          <w:szCs w:val="21"/>
        </w:rPr>
        <w:t xml:space="preserve">is to reduce the delay </w:t>
      </w:r>
      <w:r w:rsidR="00192F6F">
        <w:rPr>
          <w:szCs w:val="21"/>
        </w:rPr>
        <w:t xml:space="preserve">for </w:t>
      </w:r>
      <w:r w:rsidR="00192F6F">
        <w:rPr>
          <w:szCs w:val="21"/>
        </w:rPr>
        <w:t xml:space="preserve">SCell addition and SCG addition when UE is transited to RRC CONNECTED from RRC IDLE or RRC INACTIVE. In LTE </w:t>
      </w:r>
      <w:proofErr w:type="spellStart"/>
      <w:r w:rsidR="00192F6F">
        <w:rPr>
          <w:szCs w:val="21"/>
        </w:rPr>
        <w:t>euCA</w:t>
      </w:r>
      <w:proofErr w:type="spellEnd"/>
      <w:r w:rsidR="00192F6F">
        <w:rPr>
          <w:szCs w:val="21"/>
        </w:rPr>
        <w:t xml:space="preserve">, </w:t>
      </w:r>
      <w:r>
        <w:rPr>
          <w:szCs w:val="21"/>
        </w:rPr>
        <w:t xml:space="preserve">the </w:t>
      </w:r>
      <w:r w:rsidR="00192F6F">
        <w:rPr>
          <w:szCs w:val="21"/>
        </w:rPr>
        <w:t xml:space="preserve">UE is configured with idle mode measurement when it </w:t>
      </w:r>
      <w:r w:rsidR="00192F6F">
        <w:rPr>
          <w:szCs w:val="21"/>
        </w:rPr>
        <w:t xml:space="preserve">is released to RRC IDLE. </w:t>
      </w:r>
      <w:r>
        <w:rPr>
          <w:szCs w:val="21"/>
        </w:rPr>
        <w:t xml:space="preserve">The </w:t>
      </w:r>
      <w:r w:rsidR="00192F6F">
        <w:rPr>
          <w:szCs w:val="21"/>
        </w:rPr>
        <w:t>UE perform</w:t>
      </w:r>
      <w:r>
        <w:rPr>
          <w:szCs w:val="21"/>
        </w:rPr>
        <w:t>s</w:t>
      </w:r>
      <w:r w:rsidR="00192F6F">
        <w:rPr>
          <w:szCs w:val="21"/>
        </w:rPr>
        <w:t xml:space="preserve"> idle mode measurement according to </w:t>
      </w:r>
      <w:r>
        <w:rPr>
          <w:szCs w:val="21"/>
        </w:rPr>
        <w:t xml:space="preserve">the </w:t>
      </w:r>
      <w:r w:rsidR="00192F6F">
        <w:rPr>
          <w:szCs w:val="21"/>
        </w:rPr>
        <w:t xml:space="preserve">configured </w:t>
      </w:r>
      <w:r>
        <w:rPr>
          <w:szCs w:val="21"/>
        </w:rPr>
        <w:t xml:space="preserve">carrier </w:t>
      </w:r>
      <w:r w:rsidR="00192F6F">
        <w:rPr>
          <w:szCs w:val="21"/>
        </w:rPr>
        <w:t xml:space="preserve">frequency </w:t>
      </w:r>
      <w:r w:rsidR="00192F6F">
        <w:rPr>
          <w:szCs w:val="21"/>
        </w:rPr>
        <w:t xml:space="preserve">and </w:t>
      </w:r>
      <w:r w:rsidR="00192F6F">
        <w:rPr>
          <w:szCs w:val="21"/>
        </w:rPr>
        <w:t>its capability (e.g. whether it can support CA between target carrier frequency and current serving cell)</w:t>
      </w:r>
      <w:r w:rsidR="00192F6F">
        <w:rPr>
          <w:szCs w:val="21"/>
        </w:rPr>
        <w:t xml:space="preserve">. After it returns to RRC CONNECTED, </w:t>
      </w:r>
      <w:r>
        <w:rPr>
          <w:szCs w:val="21"/>
        </w:rPr>
        <w:t xml:space="preserve">the </w:t>
      </w:r>
      <w:r w:rsidR="00192F6F">
        <w:rPr>
          <w:szCs w:val="21"/>
        </w:rPr>
        <w:t>network ac</w:t>
      </w:r>
      <w:r w:rsidR="00192F6F">
        <w:rPr>
          <w:szCs w:val="21"/>
        </w:rPr>
        <w:t xml:space="preserve">quires idle mode measurement results </w:t>
      </w:r>
      <w:r w:rsidR="00192F6F">
        <w:rPr>
          <w:szCs w:val="21"/>
        </w:rPr>
        <w:t xml:space="preserve">immediately after SMC </w:t>
      </w:r>
      <w:r w:rsidR="00192F6F">
        <w:rPr>
          <w:szCs w:val="21"/>
        </w:rPr>
        <w:t>and configure</w:t>
      </w:r>
      <w:r>
        <w:rPr>
          <w:szCs w:val="21"/>
        </w:rPr>
        <w:t>s</w:t>
      </w:r>
      <w:r w:rsidR="00192F6F">
        <w:rPr>
          <w:szCs w:val="21"/>
        </w:rPr>
        <w:t xml:space="preserve"> CA based on the idle mode measurement results.</w:t>
      </w:r>
      <w:r w:rsidR="00192F6F">
        <w:rPr>
          <w:szCs w:val="21"/>
        </w:rPr>
        <w:t xml:space="preserve"> In this way, the delay used for RRC reconfiguration to configure CONNECTED mode measurement and the delay </w:t>
      </w:r>
      <w:r>
        <w:rPr>
          <w:szCs w:val="21"/>
        </w:rPr>
        <w:t xml:space="preserve">with which the </w:t>
      </w:r>
      <w:r w:rsidR="00192F6F">
        <w:rPr>
          <w:szCs w:val="21"/>
        </w:rPr>
        <w:t>UE perform</w:t>
      </w:r>
      <w:r>
        <w:rPr>
          <w:szCs w:val="21"/>
        </w:rPr>
        <w:t>s</w:t>
      </w:r>
      <w:r w:rsidR="00192F6F">
        <w:rPr>
          <w:szCs w:val="21"/>
        </w:rPr>
        <w:t xml:space="preserve"> measurement and rep</w:t>
      </w:r>
      <w:r w:rsidR="00192F6F">
        <w:rPr>
          <w:szCs w:val="21"/>
        </w:rPr>
        <w:t xml:space="preserve">ort is saved. </w:t>
      </w:r>
    </w:p>
    <w:p w:rsidR="00477CC1" w:rsidRDefault="00192F6F">
      <w:pPr>
        <w:rPr>
          <w:szCs w:val="21"/>
        </w:rPr>
      </w:pPr>
      <w:r>
        <w:rPr>
          <w:szCs w:val="21"/>
        </w:rPr>
        <w:t xml:space="preserve">Following tables summarize the delay of CA, </w:t>
      </w:r>
      <w:r>
        <w:rPr>
          <w:szCs w:val="21"/>
        </w:rPr>
        <w:t xml:space="preserve">NR-NR DC and </w:t>
      </w:r>
      <w:r>
        <w:rPr>
          <w:szCs w:val="21"/>
        </w:rPr>
        <w:t xml:space="preserve">MR-DC configuration according </w:t>
      </w:r>
      <w:r>
        <w:rPr>
          <w:szCs w:val="21"/>
        </w:rPr>
        <w:t xml:space="preserve">to </w:t>
      </w:r>
      <w:r>
        <w:rPr>
          <w:szCs w:val="21"/>
        </w:rPr>
        <w:t>[2</w:t>
      </w:r>
      <w:proofErr w:type="gramStart"/>
      <w:r>
        <w:rPr>
          <w:szCs w:val="21"/>
        </w:rPr>
        <w:t>][</w:t>
      </w:r>
      <w:proofErr w:type="gramEnd"/>
      <w:r>
        <w:rPr>
          <w:szCs w:val="21"/>
        </w:rPr>
        <w:t>4][5]:</w:t>
      </w:r>
    </w:p>
    <w:p w:rsidR="00477CC1" w:rsidRDefault="00192F6F">
      <w:pPr>
        <w:jc w:val="center"/>
        <w:rPr>
          <w:i/>
          <w:iCs/>
          <w:szCs w:val="21"/>
        </w:rPr>
      </w:pPr>
      <w:r>
        <w:rPr>
          <w:i/>
          <w:iCs/>
          <w:szCs w:val="21"/>
        </w:rPr>
        <w:t>Table 1: delay component of NR CA configuration</w:t>
      </w:r>
    </w:p>
    <w:tbl>
      <w:tblPr>
        <w:tblStyle w:val="TableGrid"/>
        <w:tblW w:w="8498" w:type="dxa"/>
        <w:jc w:val="center"/>
        <w:tblInd w:w="332" w:type="dxa"/>
        <w:tblLayout w:type="fixed"/>
        <w:tblLook w:val="04A0"/>
      </w:tblPr>
      <w:tblGrid>
        <w:gridCol w:w="3957"/>
        <w:gridCol w:w="2270"/>
        <w:gridCol w:w="2271"/>
      </w:tblGrid>
      <w:tr w:rsidR="00477CC1">
        <w:trPr>
          <w:jc w:val="center"/>
        </w:trPr>
        <w:tc>
          <w:tcPr>
            <w:tcW w:w="3957" w:type="dxa"/>
            <w:shd w:val="clear" w:color="auto" w:fill="D8D8D8" w:themeFill="background1" w:themeFillShade="D8"/>
          </w:tcPr>
          <w:p w:rsidR="00477CC1" w:rsidRDefault="00192F6F">
            <w:pPr>
              <w:jc w:val="center"/>
              <w:rPr>
                <w:b/>
                <w:bCs/>
                <w:szCs w:val="21"/>
              </w:rPr>
            </w:pPr>
            <w:r>
              <w:rPr>
                <w:b/>
                <w:bCs/>
                <w:szCs w:val="21"/>
              </w:rPr>
              <w:lastRenderedPageBreak/>
              <w:t xml:space="preserve">Operation </w:t>
            </w:r>
            <w:r>
              <w:rPr>
                <w:b/>
                <w:bCs/>
                <w:szCs w:val="21"/>
              </w:rPr>
              <w:t>\ delay</w:t>
            </w:r>
          </w:p>
        </w:tc>
        <w:tc>
          <w:tcPr>
            <w:tcW w:w="2270" w:type="dxa"/>
            <w:shd w:val="clear" w:color="auto" w:fill="D8D8D8" w:themeFill="background1" w:themeFillShade="D8"/>
          </w:tcPr>
          <w:p w:rsidR="00477CC1" w:rsidRDefault="00192F6F">
            <w:pPr>
              <w:jc w:val="center"/>
              <w:rPr>
                <w:b/>
                <w:bCs/>
                <w:szCs w:val="21"/>
              </w:rPr>
            </w:pPr>
            <w:r>
              <w:rPr>
                <w:b/>
                <w:bCs/>
                <w:szCs w:val="21"/>
              </w:rPr>
              <w:t>NR</w:t>
            </w:r>
          </w:p>
        </w:tc>
        <w:tc>
          <w:tcPr>
            <w:tcW w:w="2271" w:type="dxa"/>
            <w:shd w:val="clear" w:color="auto" w:fill="D8D8D8" w:themeFill="background1" w:themeFillShade="D8"/>
          </w:tcPr>
          <w:p w:rsidR="00477CC1" w:rsidRDefault="00192F6F">
            <w:pPr>
              <w:jc w:val="center"/>
              <w:rPr>
                <w:b/>
                <w:bCs/>
                <w:szCs w:val="21"/>
              </w:rPr>
            </w:pPr>
            <w:r>
              <w:rPr>
                <w:b/>
                <w:bCs/>
                <w:szCs w:val="21"/>
              </w:rPr>
              <w:t>E-UTRAN  [2]</w:t>
            </w:r>
          </w:p>
        </w:tc>
      </w:tr>
      <w:tr w:rsidR="00477CC1">
        <w:trPr>
          <w:trHeight w:val="331"/>
          <w:jc w:val="center"/>
        </w:trPr>
        <w:tc>
          <w:tcPr>
            <w:tcW w:w="3957" w:type="dxa"/>
            <w:shd w:val="clear" w:color="auto" w:fill="F2F2F2" w:themeFill="background1" w:themeFillShade="F2"/>
          </w:tcPr>
          <w:p w:rsidR="00477CC1" w:rsidRDefault="00192F6F">
            <w:pPr>
              <w:rPr>
                <w:szCs w:val="21"/>
              </w:rPr>
            </w:pPr>
            <w:r>
              <w:rPr>
                <w:szCs w:val="21"/>
              </w:rPr>
              <w:t>RACH + RRC setup /resume request</w:t>
            </w:r>
          </w:p>
        </w:tc>
        <w:tc>
          <w:tcPr>
            <w:tcW w:w="2270" w:type="dxa"/>
            <w:shd w:val="clear" w:color="auto" w:fill="F2F2F2" w:themeFill="background1" w:themeFillShade="F2"/>
          </w:tcPr>
          <w:p w:rsidR="00477CC1" w:rsidRDefault="00192F6F">
            <w:pPr>
              <w:rPr>
                <w:szCs w:val="21"/>
              </w:rPr>
            </w:pPr>
            <w:r>
              <w:rPr>
                <w:szCs w:val="21"/>
              </w:rPr>
              <w:t>10ms</w:t>
            </w:r>
          </w:p>
        </w:tc>
        <w:tc>
          <w:tcPr>
            <w:tcW w:w="2271" w:type="dxa"/>
            <w:shd w:val="clear" w:color="auto" w:fill="F2F2F2" w:themeFill="background1" w:themeFillShade="F2"/>
          </w:tcPr>
          <w:p w:rsidR="00477CC1" w:rsidRDefault="00192F6F">
            <w:pPr>
              <w:rPr>
                <w:szCs w:val="21"/>
              </w:rPr>
            </w:pPr>
            <w:r>
              <w:rPr>
                <w:szCs w:val="21"/>
              </w:rPr>
              <w:t>20ms</w:t>
            </w:r>
          </w:p>
        </w:tc>
      </w:tr>
      <w:tr w:rsidR="00477CC1">
        <w:trPr>
          <w:trHeight w:val="331"/>
          <w:jc w:val="center"/>
        </w:trPr>
        <w:tc>
          <w:tcPr>
            <w:tcW w:w="3957" w:type="dxa"/>
          </w:tcPr>
          <w:p w:rsidR="00477CC1" w:rsidRDefault="00192F6F">
            <w:pPr>
              <w:rPr>
                <w:szCs w:val="21"/>
              </w:rPr>
            </w:pPr>
            <w:r>
              <w:rPr>
                <w:szCs w:val="21"/>
              </w:rPr>
              <w:t xml:space="preserve">RRC setup / </w:t>
            </w:r>
            <w:r>
              <w:rPr>
                <w:szCs w:val="21"/>
              </w:rPr>
              <w:t>RRC resume</w:t>
            </w:r>
          </w:p>
        </w:tc>
        <w:tc>
          <w:tcPr>
            <w:tcW w:w="2270" w:type="dxa"/>
          </w:tcPr>
          <w:p w:rsidR="00477CC1" w:rsidRDefault="00192F6F">
            <w:pPr>
              <w:rPr>
                <w:szCs w:val="21"/>
              </w:rPr>
            </w:pPr>
            <w:r>
              <w:rPr>
                <w:szCs w:val="21"/>
              </w:rPr>
              <w:t>10ms</w:t>
            </w:r>
          </w:p>
        </w:tc>
        <w:tc>
          <w:tcPr>
            <w:tcW w:w="2271" w:type="dxa"/>
          </w:tcPr>
          <w:p w:rsidR="00477CC1" w:rsidRDefault="00192F6F">
            <w:pPr>
              <w:rPr>
                <w:szCs w:val="21"/>
              </w:rPr>
            </w:pPr>
            <w:r>
              <w:rPr>
                <w:szCs w:val="21"/>
              </w:rPr>
              <w:t>25ms</w:t>
            </w:r>
          </w:p>
        </w:tc>
      </w:tr>
      <w:tr w:rsidR="00477CC1">
        <w:trPr>
          <w:trHeight w:val="331"/>
          <w:jc w:val="center"/>
        </w:trPr>
        <w:tc>
          <w:tcPr>
            <w:tcW w:w="3957" w:type="dxa"/>
          </w:tcPr>
          <w:p w:rsidR="00477CC1" w:rsidRDefault="00192F6F">
            <w:pPr>
              <w:jc w:val="left"/>
              <w:rPr>
                <w:szCs w:val="21"/>
              </w:rPr>
            </w:pPr>
            <w:r>
              <w:rPr>
                <w:szCs w:val="21"/>
              </w:rPr>
              <w:t>SMC(for RRC setup) + RRC reconfiguration (inter-freq measurement)</w:t>
            </w:r>
          </w:p>
        </w:tc>
        <w:tc>
          <w:tcPr>
            <w:tcW w:w="2270" w:type="dxa"/>
          </w:tcPr>
          <w:p w:rsidR="00477CC1" w:rsidRDefault="00192F6F">
            <w:pPr>
              <w:rPr>
                <w:szCs w:val="21"/>
              </w:rPr>
            </w:pPr>
            <w:r>
              <w:rPr>
                <w:szCs w:val="21"/>
              </w:rPr>
              <w:t>16ms</w:t>
            </w:r>
          </w:p>
        </w:tc>
        <w:tc>
          <w:tcPr>
            <w:tcW w:w="2271" w:type="dxa"/>
          </w:tcPr>
          <w:p w:rsidR="00477CC1" w:rsidRDefault="00192F6F">
            <w:pPr>
              <w:rPr>
                <w:szCs w:val="21"/>
              </w:rPr>
            </w:pPr>
            <w:r>
              <w:rPr>
                <w:szCs w:val="21"/>
              </w:rPr>
              <w:t>30ms</w:t>
            </w:r>
          </w:p>
        </w:tc>
      </w:tr>
      <w:tr w:rsidR="00477CC1">
        <w:trPr>
          <w:trHeight w:val="331"/>
          <w:jc w:val="center"/>
        </w:trPr>
        <w:tc>
          <w:tcPr>
            <w:tcW w:w="3957" w:type="dxa"/>
          </w:tcPr>
          <w:p w:rsidR="00477CC1" w:rsidRDefault="00192F6F">
            <w:pPr>
              <w:rPr>
                <w:szCs w:val="21"/>
              </w:rPr>
            </w:pPr>
            <w:r>
              <w:rPr>
                <w:szCs w:val="21"/>
              </w:rPr>
              <w:t>Inter frequency measurement</w:t>
            </w:r>
          </w:p>
        </w:tc>
        <w:tc>
          <w:tcPr>
            <w:tcW w:w="2270" w:type="dxa"/>
          </w:tcPr>
          <w:p w:rsidR="00477CC1" w:rsidRDefault="00192F6F">
            <w:pPr>
              <w:rPr>
                <w:szCs w:val="21"/>
              </w:rPr>
            </w:pPr>
            <w:r>
              <w:rPr>
                <w:szCs w:val="21"/>
              </w:rPr>
              <w:t>800ms (FR1)</w:t>
            </w:r>
          </w:p>
        </w:tc>
        <w:tc>
          <w:tcPr>
            <w:tcW w:w="2271" w:type="dxa"/>
          </w:tcPr>
          <w:p w:rsidR="00477CC1" w:rsidRDefault="00192F6F">
            <w:pPr>
              <w:jc w:val="left"/>
              <w:rPr>
                <w:szCs w:val="21"/>
              </w:rPr>
            </w:pPr>
            <w:r>
              <w:rPr>
                <w:szCs w:val="21"/>
              </w:rPr>
              <w:t>480ms x N freq layers</w:t>
            </w:r>
          </w:p>
        </w:tc>
      </w:tr>
      <w:tr w:rsidR="00477CC1">
        <w:trPr>
          <w:trHeight w:val="90"/>
          <w:jc w:val="center"/>
        </w:trPr>
        <w:tc>
          <w:tcPr>
            <w:tcW w:w="3957" w:type="dxa"/>
          </w:tcPr>
          <w:p w:rsidR="00477CC1" w:rsidRDefault="00192F6F">
            <w:pPr>
              <w:rPr>
                <w:szCs w:val="21"/>
              </w:rPr>
            </w:pPr>
            <w:r>
              <w:rPr>
                <w:szCs w:val="21"/>
              </w:rPr>
              <w:t>Measurement report</w:t>
            </w:r>
          </w:p>
        </w:tc>
        <w:tc>
          <w:tcPr>
            <w:tcW w:w="2270" w:type="dxa"/>
          </w:tcPr>
          <w:p w:rsidR="00477CC1" w:rsidRDefault="00192F6F">
            <w:pPr>
              <w:rPr>
                <w:szCs w:val="21"/>
              </w:rPr>
            </w:pPr>
            <w:r>
              <w:rPr>
                <w:szCs w:val="21"/>
              </w:rPr>
              <w:t>10ms</w:t>
            </w:r>
          </w:p>
        </w:tc>
        <w:tc>
          <w:tcPr>
            <w:tcW w:w="2271" w:type="dxa"/>
          </w:tcPr>
          <w:p w:rsidR="00477CC1" w:rsidRDefault="00192F6F">
            <w:pPr>
              <w:rPr>
                <w:szCs w:val="21"/>
              </w:rPr>
            </w:pPr>
            <w:r>
              <w:rPr>
                <w:szCs w:val="21"/>
              </w:rPr>
              <w:t>15ms</w:t>
            </w:r>
          </w:p>
        </w:tc>
      </w:tr>
      <w:tr w:rsidR="00477CC1">
        <w:trPr>
          <w:trHeight w:val="331"/>
          <w:jc w:val="center"/>
        </w:trPr>
        <w:tc>
          <w:tcPr>
            <w:tcW w:w="3957" w:type="dxa"/>
          </w:tcPr>
          <w:p w:rsidR="00477CC1" w:rsidRDefault="00192F6F">
            <w:pPr>
              <w:rPr>
                <w:szCs w:val="21"/>
              </w:rPr>
            </w:pPr>
            <w:r>
              <w:rPr>
                <w:szCs w:val="21"/>
              </w:rPr>
              <w:t>RRC reconfiguration for SCell addition</w:t>
            </w:r>
          </w:p>
        </w:tc>
        <w:tc>
          <w:tcPr>
            <w:tcW w:w="2270" w:type="dxa"/>
          </w:tcPr>
          <w:p w:rsidR="00477CC1" w:rsidRDefault="00192F6F">
            <w:pPr>
              <w:rPr>
                <w:szCs w:val="21"/>
              </w:rPr>
            </w:pPr>
            <w:r>
              <w:rPr>
                <w:szCs w:val="21"/>
              </w:rPr>
              <w:t>16ms</w:t>
            </w:r>
          </w:p>
        </w:tc>
        <w:tc>
          <w:tcPr>
            <w:tcW w:w="2271" w:type="dxa"/>
          </w:tcPr>
          <w:p w:rsidR="00477CC1" w:rsidRDefault="00192F6F">
            <w:pPr>
              <w:rPr>
                <w:szCs w:val="21"/>
              </w:rPr>
            </w:pPr>
            <w:r>
              <w:rPr>
                <w:szCs w:val="21"/>
              </w:rPr>
              <w:t>30ms</w:t>
            </w:r>
          </w:p>
        </w:tc>
      </w:tr>
    </w:tbl>
    <w:p w:rsidR="00477CC1" w:rsidRDefault="00477CC1">
      <w:pPr>
        <w:jc w:val="center"/>
        <w:rPr>
          <w:i/>
          <w:iCs/>
          <w:szCs w:val="21"/>
        </w:rPr>
      </w:pPr>
    </w:p>
    <w:p w:rsidR="00477CC1" w:rsidRDefault="00192F6F">
      <w:pPr>
        <w:jc w:val="center"/>
        <w:rPr>
          <w:i/>
          <w:iCs/>
          <w:szCs w:val="21"/>
        </w:rPr>
      </w:pPr>
      <w:r>
        <w:rPr>
          <w:i/>
          <w:iCs/>
          <w:szCs w:val="21"/>
        </w:rPr>
        <w:t xml:space="preserve">Table 2: </w:t>
      </w:r>
      <w:r>
        <w:rPr>
          <w:i/>
          <w:iCs/>
          <w:szCs w:val="21"/>
        </w:rPr>
        <w:t>delay component of MR-DC configuration</w:t>
      </w:r>
    </w:p>
    <w:tbl>
      <w:tblPr>
        <w:tblStyle w:val="TableGrid"/>
        <w:tblW w:w="9751" w:type="dxa"/>
        <w:jc w:val="center"/>
        <w:tblInd w:w="288" w:type="dxa"/>
        <w:tblLayout w:type="fixed"/>
        <w:tblLook w:val="04A0"/>
      </w:tblPr>
      <w:tblGrid>
        <w:gridCol w:w="4050"/>
        <w:gridCol w:w="1732"/>
        <w:gridCol w:w="2156"/>
        <w:gridCol w:w="1813"/>
      </w:tblGrid>
      <w:tr w:rsidR="00477CC1">
        <w:trPr>
          <w:jc w:val="center"/>
        </w:trPr>
        <w:tc>
          <w:tcPr>
            <w:tcW w:w="4050" w:type="dxa"/>
            <w:shd w:val="clear" w:color="auto" w:fill="D8D8D8" w:themeFill="background1" w:themeFillShade="D8"/>
          </w:tcPr>
          <w:p w:rsidR="00477CC1" w:rsidRDefault="00192F6F">
            <w:pPr>
              <w:jc w:val="center"/>
              <w:rPr>
                <w:b/>
                <w:bCs/>
                <w:szCs w:val="21"/>
              </w:rPr>
            </w:pPr>
            <w:r>
              <w:rPr>
                <w:b/>
                <w:bCs/>
                <w:szCs w:val="21"/>
              </w:rPr>
              <w:t xml:space="preserve">Operation </w:t>
            </w:r>
            <w:r>
              <w:rPr>
                <w:b/>
                <w:bCs/>
                <w:szCs w:val="21"/>
              </w:rPr>
              <w:t>\ delay</w:t>
            </w:r>
          </w:p>
        </w:tc>
        <w:tc>
          <w:tcPr>
            <w:tcW w:w="1732" w:type="dxa"/>
            <w:shd w:val="clear" w:color="auto" w:fill="D8D8D8" w:themeFill="background1" w:themeFillShade="D8"/>
          </w:tcPr>
          <w:p w:rsidR="00477CC1" w:rsidRDefault="00192F6F">
            <w:pPr>
              <w:jc w:val="center"/>
              <w:rPr>
                <w:b/>
                <w:bCs/>
                <w:szCs w:val="21"/>
              </w:rPr>
            </w:pPr>
            <w:r>
              <w:rPr>
                <w:b/>
                <w:bCs/>
                <w:szCs w:val="21"/>
              </w:rPr>
              <w:t>NR-NR DC</w:t>
            </w:r>
          </w:p>
        </w:tc>
        <w:tc>
          <w:tcPr>
            <w:tcW w:w="2156" w:type="dxa"/>
            <w:shd w:val="clear" w:color="auto" w:fill="D8D8D8" w:themeFill="background1" w:themeFillShade="D8"/>
          </w:tcPr>
          <w:p w:rsidR="00477CC1" w:rsidRDefault="00192F6F">
            <w:pPr>
              <w:jc w:val="center"/>
              <w:rPr>
                <w:b/>
                <w:bCs/>
                <w:szCs w:val="21"/>
              </w:rPr>
            </w:pPr>
            <w:r>
              <w:rPr>
                <w:b/>
                <w:bCs/>
                <w:szCs w:val="21"/>
              </w:rPr>
              <w:t>NE-DC</w:t>
            </w:r>
          </w:p>
        </w:tc>
        <w:tc>
          <w:tcPr>
            <w:tcW w:w="1813" w:type="dxa"/>
            <w:shd w:val="clear" w:color="auto" w:fill="D8D8D8" w:themeFill="background1" w:themeFillShade="D8"/>
          </w:tcPr>
          <w:p w:rsidR="00477CC1" w:rsidRDefault="00192F6F">
            <w:pPr>
              <w:jc w:val="center"/>
              <w:rPr>
                <w:b/>
                <w:bCs/>
                <w:szCs w:val="21"/>
              </w:rPr>
            </w:pPr>
            <w:r>
              <w:rPr>
                <w:b/>
                <w:bCs/>
                <w:szCs w:val="21"/>
              </w:rPr>
              <w:t>(NG) EN-DC</w:t>
            </w:r>
          </w:p>
        </w:tc>
      </w:tr>
      <w:tr w:rsidR="00477CC1">
        <w:trPr>
          <w:trHeight w:val="331"/>
          <w:jc w:val="center"/>
        </w:trPr>
        <w:tc>
          <w:tcPr>
            <w:tcW w:w="4050" w:type="dxa"/>
          </w:tcPr>
          <w:p w:rsidR="00477CC1" w:rsidRDefault="00192F6F">
            <w:pPr>
              <w:rPr>
                <w:szCs w:val="21"/>
              </w:rPr>
            </w:pPr>
            <w:r>
              <w:rPr>
                <w:szCs w:val="21"/>
              </w:rPr>
              <w:t>RACH + RRC setup / resume request</w:t>
            </w:r>
          </w:p>
        </w:tc>
        <w:tc>
          <w:tcPr>
            <w:tcW w:w="1732" w:type="dxa"/>
          </w:tcPr>
          <w:p w:rsidR="00477CC1" w:rsidRDefault="00192F6F">
            <w:pPr>
              <w:rPr>
                <w:szCs w:val="21"/>
              </w:rPr>
            </w:pPr>
            <w:r>
              <w:rPr>
                <w:szCs w:val="21"/>
              </w:rPr>
              <w:t>10ms</w:t>
            </w:r>
          </w:p>
        </w:tc>
        <w:tc>
          <w:tcPr>
            <w:tcW w:w="2156" w:type="dxa"/>
          </w:tcPr>
          <w:p w:rsidR="00477CC1" w:rsidRDefault="00192F6F">
            <w:pPr>
              <w:rPr>
                <w:szCs w:val="21"/>
              </w:rPr>
            </w:pPr>
            <w:r>
              <w:rPr>
                <w:szCs w:val="21"/>
              </w:rPr>
              <w:t>10ms</w:t>
            </w:r>
          </w:p>
        </w:tc>
        <w:tc>
          <w:tcPr>
            <w:tcW w:w="1813" w:type="dxa"/>
          </w:tcPr>
          <w:p w:rsidR="00477CC1" w:rsidRDefault="00192F6F">
            <w:pPr>
              <w:rPr>
                <w:szCs w:val="21"/>
              </w:rPr>
            </w:pPr>
            <w:r>
              <w:rPr>
                <w:szCs w:val="21"/>
              </w:rPr>
              <w:t>20ms</w:t>
            </w:r>
          </w:p>
        </w:tc>
      </w:tr>
      <w:tr w:rsidR="00477CC1">
        <w:trPr>
          <w:trHeight w:val="331"/>
          <w:jc w:val="center"/>
        </w:trPr>
        <w:tc>
          <w:tcPr>
            <w:tcW w:w="4050" w:type="dxa"/>
          </w:tcPr>
          <w:p w:rsidR="00477CC1" w:rsidRDefault="00192F6F">
            <w:pPr>
              <w:rPr>
                <w:szCs w:val="21"/>
              </w:rPr>
            </w:pPr>
            <w:r>
              <w:rPr>
                <w:szCs w:val="21"/>
              </w:rPr>
              <w:t>RRC setup / resume</w:t>
            </w:r>
          </w:p>
        </w:tc>
        <w:tc>
          <w:tcPr>
            <w:tcW w:w="1732" w:type="dxa"/>
          </w:tcPr>
          <w:p w:rsidR="00477CC1" w:rsidRDefault="00192F6F">
            <w:pPr>
              <w:rPr>
                <w:szCs w:val="21"/>
              </w:rPr>
            </w:pPr>
            <w:r>
              <w:rPr>
                <w:szCs w:val="21"/>
              </w:rPr>
              <w:t>10ms</w:t>
            </w:r>
          </w:p>
        </w:tc>
        <w:tc>
          <w:tcPr>
            <w:tcW w:w="2156" w:type="dxa"/>
          </w:tcPr>
          <w:p w:rsidR="00477CC1" w:rsidRDefault="00192F6F">
            <w:pPr>
              <w:rPr>
                <w:szCs w:val="21"/>
              </w:rPr>
            </w:pPr>
            <w:r>
              <w:rPr>
                <w:szCs w:val="21"/>
              </w:rPr>
              <w:t>10ms</w:t>
            </w:r>
          </w:p>
        </w:tc>
        <w:tc>
          <w:tcPr>
            <w:tcW w:w="1813" w:type="dxa"/>
          </w:tcPr>
          <w:p w:rsidR="00477CC1" w:rsidRDefault="00192F6F">
            <w:pPr>
              <w:rPr>
                <w:szCs w:val="21"/>
              </w:rPr>
            </w:pPr>
            <w:r>
              <w:rPr>
                <w:szCs w:val="21"/>
              </w:rPr>
              <w:t>25ms</w:t>
            </w:r>
          </w:p>
        </w:tc>
      </w:tr>
      <w:tr w:rsidR="00477CC1">
        <w:trPr>
          <w:trHeight w:val="331"/>
          <w:jc w:val="center"/>
        </w:trPr>
        <w:tc>
          <w:tcPr>
            <w:tcW w:w="4050" w:type="dxa"/>
          </w:tcPr>
          <w:p w:rsidR="00477CC1" w:rsidRDefault="00192F6F">
            <w:pPr>
              <w:jc w:val="left"/>
              <w:rPr>
                <w:szCs w:val="21"/>
              </w:rPr>
            </w:pPr>
            <w:r>
              <w:rPr>
                <w:szCs w:val="21"/>
              </w:rPr>
              <w:t>SMC (RRC setup) + RRC reconfiguration (inter-RAT/inter-freq measurement)</w:t>
            </w:r>
          </w:p>
        </w:tc>
        <w:tc>
          <w:tcPr>
            <w:tcW w:w="1732" w:type="dxa"/>
          </w:tcPr>
          <w:p w:rsidR="00477CC1" w:rsidRDefault="00192F6F">
            <w:pPr>
              <w:rPr>
                <w:szCs w:val="21"/>
              </w:rPr>
            </w:pPr>
            <w:r>
              <w:rPr>
                <w:szCs w:val="21"/>
              </w:rPr>
              <w:t>16ms</w:t>
            </w:r>
          </w:p>
        </w:tc>
        <w:tc>
          <w:tcPr>
            <w:tcW w:w="2156" w:type="dxa"/>
          </w:tcPr>
          <w:p w:rsidR="00477CC1" w:rsidRDefault="00192F6F">
            <w:pPr>
              <w:rPr>
                <w:szCs w:val="21"/>
              </w:rPr>
            </w:pPr>
            <w:r>
              <w:rPr>
                <w:szCs w:val="21"/>
              </w:rPr>
              <w:t>16ms</w:t>
            </w:r>
          </w:p>
        </w:tc>
        <w:tc>
          <w:tcPr>
            <w:tcW w:w="1813" w:type="dxa"/>
          </w:tcPr>
          <w:p w:rsidR="00477CC1" w:rsidRDefault="00192F6F">
            <w:pPr>
              <w:rPr>
                <w:szCs w:val="21"/>
              </w:rPr>
            </w:pPr>
            <w:r>
              <w:rPr>
                <w:szCs w:val="21"/>
              </w:rPr>
              <w:t>30ms</w:t>
            </w:r>
          </w:p>
        </w:tc>
      </w:tr>
      <w:tr w:rsidR="00477CC1">
        <w:trPr>
          <w:trHeight w:val="331"/>
          <w:jc w:val="center"/>
        </w:trPr>
        <w:tc>
          <w:tcPr>
            <w:tcW w:w="4050" w:type="dxa"/>
          </w:tcPr>
          <w:p w:rsidR="00477CC1" w:rsidRDefault="00192F6F">
            <w:pPr>
              <w:rPr>
                <w:szCs w:val="21"/>
              </w:rPr>
            </w:pPr>
            <w:r>
              <w:rPr>
                <w:szCs w:val="21"/>
              </w:rPr>
              <w:t>Inter-freq</w:t>
            </w:r>
            <w:r>
              <w:rPr>
                <w:szCs w:val="21"/>
              </w:rPr>
              <w:t xml:space="preserve">/inter-RAT </w:t>
            </w:r>
            <w:r>
              <w:rPr>
                <w:szCs w:val="21"/>
              </w:rPr>
              <w:t>measurement</w:t>
            </w:r>
            <w:r>
              <w:rPr>
                <w:szCs w:val="21"/>
              </w:rPr>
              <w:t xml:space="preserve"> for SCG</w:t>
            </w:r>
          </w:p>
        </w:tc>
        <w:tc>
          <w:tcPr>
            <w:tcW w:w="1732" w:type="dxa"/>
          </w:tcPr>
          <w:p w:rsidR="00477CC1" w:rsidRDefault="00192F6F">
            <w:pPr>
              <w:rPr>
                <w:szCs w:val="21"/>
              </w:rPr>
            </w:pPr>
            <w:r>
              <w:rPr>
                <w:szCs w:val="21"/>
              </w:rPr>
              <w:t>800ms (FR1)</w:t>
            </w:r>
          </w:p>
        </w:tc>
        <w:tc>
          <w:tcPr>
            <w:tcW w:w="2156" w:type="dxa"/>
          </w:tcPr>
          <w:p w:rsidR="00477CC1" w:rsidRDefault="00192F6F">
            <w:pPr>
              <w:rPr>
                <w:szCs w:val="21"/>
              </w:rPr>
            </w:pPr>
            <w:r>
              <w:rPr>
                <w:szCs w:val="21"/>
              </w:rPr>
              <w:t xml:space="preserve">480ms x N freq </w:t>
            </w:r>
            <w:r>
              <w:rPr>
                <w:szCs w:val="21"/>
              </w:rPr>
              <w:t>l</w:t>
            </w:r>
            <w:r>
              <w:rPr>
                <w:szCs w:val="21"/>
              </w:rPr>
              <w:t>ayers</w:t>
            </w:r>
          </w:p>
        </w:tc>
        <w:tc>
          <w:tcPr>
            <w:tcW w:w="1813" w:type="dxa"/>
          </w:tcPr>
          <w:p w:rsidR="00477CC1" w:rsidRDefault="00192F6F">
            <w:pPr>
              <w:rPr>
                <w:szCs w:val="21"/>
              </w:rPr>
            </w:pPr>
            <w:r>
              <w:rPr>
                <w:szCs w:val="21"/>
              </w:rPr>
              <w:t>800ms (FR1)</w:t>
            </w:r>
          </w:p>
        </w:tc>
      </w:tr>
      <w:tr w:rsidR="00477CC1">
        <w:trPr>
          <w:trHeight w:val="331"/>
          <w:jc w:val="center"/>
        </w:trPr>
        <w:tc>
          <w:tcPr>
            <w:tcW w:w="4050" w:type="dxa"/>
          </w:tcPr>
          <w:p w:rsidR="00477CC1" w:rsidRDefault="00192F6F">
            <w:pPr>
              <w:rPr>
                <w:szCs w:val="21"/>
              </w:rPr>
            </w:pPr>
            <w:r>
              <w:rPr>
                <w:szCs w:val="21"/>
              </w:rPr>
              <w:t>Measurement report</w:t>
            </w:r>
          </w:p>
        </w:tc>
        <w:tc>
          <w:tcPr>
            <w:tcW w:w="1732" w:type="dxa"/>
          </w:tcPr>
          <w:p w:rsidR="00477CC1" w:rsidRDefault="00192F6F">
            <w:pPr>
              <w:rPr>
                <w:szCs w:val="21"/>
              </w:rPr>
            </w:pPr>
            <w:r>
              <w:rPr>
                <w:szCs w:val="21"/>
              </w:rPr>
              <w:t>10ms</w:t>
            </w:r>
          </w:p>
        </w:tc>
        <w:tc>
          <w:tcPr>
            <w:tcW w:w="2156" w:type="dxa"/>
          </w:tcPr>
          <w:p w:rsidR="00477CC1" w:rsidRDefault="00192F6F">
            <w:pPr>
              <w:rPr>
                <w:szCs w:val="21"/>
              </w:rPr>
            </w:pPr>
            <w:r>
              <w:rPr>
                <w:szCs w:val="21"/>
              </w:rPr>
              <w:t>10ms</w:t>
            </w:r>
          </w:p>
        </w:tc>
        <w:tc>
          <w:tcPr>
            <w:tcW w:w="1813" w:type="dxa"/>
          </w:tcPr>
          <w:p w:rsidR="00477CC1" w:rsidRDefault="00192F6F">
            <w:pPr>
              <w:rPr>
                <w:szCs w:val="21"/>
              </w:rPr>
            </w:pPr>
            <w:r>
              <w:rPr>
                <w:szCs w:val="21"/>
              </w:rPr>
              <w:t>15ms</w:t>
            </w:r>
          </w:p>
        </w:tc>
      </w:tr>
      <w:tr w:rsidR="00477CC1">
        <w:trPr>
          <w:trHeight w:val="331"/>
          <w:jc w:val="center"/>
        </w:trPr>
        <w:tc>
          <w:tcPr>
            <w:tcW w:w="4050" w:type="dxa"/>
          </w:tcPr>
          <w:p w:rsidR="00477CC1" w:rsidRDefault="00192F6F">
            <w:pPr>
              <w:rPr>
                <w:szCs w:val="21"/>
              </w:rPr>
            </w:pPr>
            <w:r>
              <w:rPr>
                <w:szCs w:val="21"/>
              </w:rPr>
              <w:t>SN addition procedure (not consider CU/DU)</w:t>
            </w:r>
          </w:p>
        </w:tc>
        <w:tc>
          <w:tcPr>
            <w:tcW w:w="1732" w:type="dxa"/>
          </w:tcPr>
          <w:p w:rsidR="00477CC1" w:rsidRDefault="00192F6F">
            <w:pPr>
              <w:rPr>
                <w:szCs w:val="21"/>
              </w:rPr>
            </w:pPr>
            <w:r>
              <w:rPr>
                <w:szCs w:val="21"/>
              </w:rPr>
              <w:t>50ms</w:t>
            </w:r>
          </w:p>
        </w:tc>
        <w:tc>
          <w:tcPr>
            <w:tcW w:w="2156" w:type="dxa"/>
          </w:tcPr>
          <w:p w:rsidR="00477CC1" w:rsidRDefault="00192F6F">
            <w:pPr>
              <w:rPr>
                <w:szCs w:val="21"/>
              </w:rPr>
            </w:pPr>
            <w:r>
              <w:rPr>
                <w:szCs w:val="21"/>
              </w:rPr>
              <w:t>50ms</w:t>
            </w:r>
          </w:p>
        </w:tc>
        <w:tc>
          <w:tcPr>
            <w:tcW w:w="1813" w:type="dxa"/>
          </w:tcPr>
          <w:p w:rsidR="00477CC1" w:rsidRDefault="00192F6F">
            <w:pPr>
              <w:rPr>
                <w:szCs w:val="21"/>
              </w:rPr>
            </w:pPr>
            <w:r>
              <w:rPr>
                <w:szCs w:val="21"/>
              </w:rPr>
              <w:t>50ms</w:t>
            </w:r>
          </w:p>
        </w:tc>
      </w:tr>
      <w:tr w:rsidR="00477CC1">
        <w:trPr>
          <w:trHeight w:val="331"/>
          <w:jc w:val="center"/>
        </w:trPr>
        <w:tc>
          <w:tcPr>
            <w:tcW w:w="4050" w:type="dxa"/>
          </w:tcPr>
          <w:p w:rsidR="00477CC1" w:rsidRDefault="00192F6F">
            <w:pPr>
              <w:rPr>
                <w:szCs w:val="21"/>
              </w:rPr>
            </w:pPr>
            <w:r>
              <w:rPr>
                <w:szCs w:val="21"/>
              </w:rPr>
              <w:t xml:space="preserve">RACH to </w:t>
            </w:r>
            <w:proofErr w:type="spellStart"/>
            <w:r>
              <w:rPr>
                <w:szCs w:val="21"/>
              </w:rPr>
              <w:t>PsCell</w:t>
            </w:r>
            <w:proofErr w:type="spellEnd"/>
          </w:p>
        </w:tc>
        <w:tc>
          <w:tcPr>
            <w:tcW w:w="1732" w:type="dxa"/>
          </w:tcPr>
          <w:p w:rsidR="00477CC1" w:rsidRDefault="00192F6F">
            <w:pPr>
              <w:rPr>
                <w:szCs w:val="21"/>
              </w:rPr>
            </w:pPr>
            <w:r>
              <w:rPr>
                <w:szCs w:val="21"/>
              </w:rPr>
              <w:t>10ms</w:t>
            </w:r>
          </w:p>
        </w:tc>
        <w:tc>
          <w:tcPr>
            <w:tcW w:w="2156" w:type="dxa"/>
          </w:tcPr>
          <w:p w:rsidR="00477CC1" w:rsidRDefault="00192F6F">
            <w:pPr>
              <w:rPr>
                <w:szCs w:val="21"/>
              </w:rPr>
            </w:pPr>
            <w:r>
              <w:rPr>
                <w:szCs w:val="21"/>
              </w:rPr>
              <w:t>20ms</w:t>
            </w:r>
          </w:p>
        </w:tc>
        <w:tc>
          <w:tcPr>
            <w:tcW w:w="1813" w:type="dxa"/>
          </w:tcPr>
          <w:p w:rsidR="00477CC1" w:rsidRDefault="00192F6F">
            <w:pPr>
              <w:rPr>
                <w:szCs w:val="21"/>
              </w:rPr>
            </w:pPr>
            <w:r>
              <w:rPr>
                <w:szCs w:val="21"/>
              </w:rPr>
              <w:t>10ms</w:t>
            </w:r>
          </w:p>
        </w:tc>
      </w:tr>
    </w:tbl>
    <w:p w:rsidR="00477CC1" w:rsidRDefault="00477CC1">
      <w:pPr>
        <w:rPr>
          <w:szCs w:val="21"/>
        </w:rPr>
      </w:pPr>
    </w:p>
    <w:p w:rsidR="00477CC1" w:rsidRDefault="002C1D85">
      <w:pPr>
        <w:rPr>
          <w:szCs w:val="21"/>
        </w:rPr>
      </w:pPr>
      <w:r>
        <w:rPr>
          <w:szCs w:val="21"/>
        </w:rPr>
        <w:t>I</w:t>
      </w:r>
      <w:r w:rsidR="00192F6F">
        <w:rPr>
          <w:szCs w:val="21"/>
        </w:rPr>
        <w:t xml:space="preserve">nter-frequency/inter-RAT </w:t>
      </w:r>
      <w:r w:rsidR="00192F6F">
        <w:rPr>
          <w:szCs w:val="21"/>
        </w:rPr>
        <w:t>measurement</w:t>
      </w:r>
      <w:r>
        <w:rPr>
          <w:szCs w:val="21"/>
        </w:rPr>
        <w:t>s take a big portion of the</w:t>
      </w:r>
      <w:r w:rsidR="00192F6F">
        <w:rPr>
          <w:szCs w:val="21"/>
        </w:rPr>
        <w:t xml:space="preserve"> total delay in all cases.</w:t>
      </w:r>
      <w:r w:rsidR="00192F6F">
        <w:rPr>
          <w:szCs w:val="21"/>
        </w:rPr>
        <w:t xml:space="preserve"> </w:t>
      </w:r>
      <w:r w:rsidR="00192F6F">
        <w:rPr>
          <w:szCs w:val="21"/>
        </w:rPr>
        <w:t xml:space="preserve">It is reasonable to assume a similar early measurement mechanism is beneficial to speed up NR CA, NR DC and MR-DC configuration, especially </w:t>
      </w:r>
      <w:r w:rsidR="00192F6F">
        <w:rPr>
          <w:szCs w:val="21"/>
        </w:rPr>
        <w:t xml:space="preserve">for </w:t>
      </w:r>
      <w:proofErr w:type="spellStart"/>
      <w:r w:rsidR="00192F6F">
        <w:rPr>
          <w:szCs w:val="21"/>
        </w:rPr>
        <w:t>bursty</w:t>
      </w:r>
      <w:proofErr w:type="spellEnd"/>
      <w:r w:rsidR="00192F6F">
        <w:rPr>
          <w:szCs w:val="21"/>
        </w:rPr>
        <w:t xml:space="preserve"> user traffic and larger spectrum bandwidth of</w:t>
      </w:r>
      <w:r w:rsidR="00192F6F">
        <w:rPr>
          <w:szCs w:val="21"/>
        </w:rPr>
        <w:t xml:space="preserve"> NR carriers.</w:t>
      </w:r>
    </w:p>
    <w:p w:rsidR="00477CC1" w:rsidRDefault="002C1D85">
      <w:pPr>
        <w:rPr>
          <w:szCs w:val="21"/>
        </w:rPr>
      </w:pPr>
      <w:r>
        <w:rPr>
          <w:szCs w:val="21"/>
        </w:rPr>
        <w:t>E</w:t>
      </w:r>
      <w:r w:rsidR="00192F6F">
        <w:rPr>
          <w:szCs w:val="21"/>
        </w:rPr>
        <w:t xml:space="preserve">arly measurement </w:t>
      </w:r>
      <w:r>
        <w:rPr>
          <w:szCs w:val="21"/>
        </w:rPr>
        <w:t xml:space="preserve">reporting </w:t>
      </w:r>
      <w:r w:rsidR="00192F6F">
        <w:rPr>
          <w:szCs w:val="21"/>
        </w:rPr>
        <w:t>will bring benefits to both RRC setup and RRC resume procedures.</w:t>
      </w:r>
    </w:p>
    <w:p w:rsidR="00477CC1" w:rsidRDefault="00192F6F">
      <w:pPr>
        <w:rPr>
          <w:b/>
          <w:bCs/>
          <w:szCs w:val="21"/>
        </w:rPr>
      </w:pPr>
      <w:r>
        <w:rPr>
          <w:b/>
          <w:bCs/>
          <w:szCs w:val="21"/>
        </w:rPr>
        <w:t xml:space="preserve">Proposal 1: Similar to LTE </w:t>
      </w:r>
      <w:proofErr w:type="spellStart"/>
      <w:r>
        <w:rPr>
          <w:b/>
          <w:bCs/>
          <w:szCs w:val="21"/>
        </w:rPr>
        <w:t>euCA</w:t>
      </w:r>
      <w:proofErr w:type="spellEnd"/>
      <w:r>
        <w:rPr>
          <w:b/>
          <w:bCs/>
          <w:szCs w:val="21"/>
        </w:rPr>
        <w:t xml:space="preserve">, early measurement </w:t>
      </w:r>
      <w:r w:rsidR="002C1D85">
        <w:rPr>
          <w:b/>
          <w:bCs/>
          <w:szCs w:val="21"/>
        </w:rPr>
        <w:t xml:space="preserve">reporting </w:t>
      </w:r>
      <w:r>
        <w:rPr>
          <w:b/>
          <w:bCs/>
          <w:szCs w:val="21"/>
        </w:rPr>
        <w:t xml:space="preserve">should be supported </w:t>
      </w:r>
      <w:r>
        <w:rPr>
          <w:b/>
          <w:bCs/>
          <w:szCs w:val="21"/>
        </w:rPr>
        <w:t>to speed up configuration of</w:t>
      </w:r>
      <w:r>
        <w:rPr>
          <w:b/>
          <w:bCs/>
          <w:szCs w:val="21"/>
        </w:rPr>
        <w:t xml:space="preserve"> NR CA, NR-NR DC and MR-DC</w:t>
      </w:r>
      <w:r>
        <w:rPr>
          <w:b/>
          <w:bCs/>
          <w:szCs w:val="21"/>
        </w:rPr>
        <w:t xml:space="preserve"> when UE transits to RRC CONNE</w:t>
      </w:r>
      <w:r>
        <w:rPr>
          <w:b/>
          <w:bCs/>
          <w:szCs w:val="21"/>
        </w:rPr>
        <w:t>CTED from RRC IDLR and RRC INACTIVE</w:t>
      </w:r>
      <w:r>
        <w:rPr>
          <w:b/>
          <w:bCs/>
          <w:szCs w:val="21"/>
        </w:rPr>
        <w:t>.</w:t>
      </w:r>
    </w:p>
    <w:p w:rsidR="00477CC1" w:rsidRDefault="00477CC1">
      <w:pPr>
        <w:rPr>
          <w:szCs w:val="21"/>
        </w:rPr>
      </w:pPr>
    </w:p>
    <w:p w:rsidR="00477CC1" w:rsidRDefault="00192F6F">
      <w:pPr>
        <w:rPr>
          <w:i/>
          <w:iCs/>
          <w:szCs w:val="21"/>
          <w:u w:val="single"/>
        </w:rPr>
      </w:pPr>
      <w:r>
        <w:rPr>
          <w:i/>
          <w:iCs/>
          <w:szCs w:val="21"/>
          <w:u w:val="single"/>
        </w:rPr>
        <w:lastRenderedPageBreak/>
        <w:t xml:space="preserve">Applicability of LTE </w:t>
      </w:r>
      <w:proofErr w:type="spellStart"/>
      <w:r>
        <w:rPr>
          <w:i/>
          <w:iCs/>
          <w:szCs w:val="21"/>
          <w:u w:val="single"/>
        </w:rPr>
        <w:t>euCA</w:t>
      </w:r>
      <w:proofErr w:type="spellEnd"/>
      <w:r>
        <w:rPr>
          <w:i/>
          <w:iCs/>
          <w:szCs w:val="21"/>
          <w:u w:val="single"/>
        </w:rPr>
        <w:t xml:space="preserve"> m</w:t>
      </w:r>
      <w:r>
        <w:rPr>
          <w:i/>
          <w:iCs/>
          <w:szCs w:val="21"/>
          <w:u w:val="single"/>
        </w:rPr>
        <w:t>easurement configuration</w:t>
      </w:r>
    </w:p>
    <w:p w:rsidR="00477CC1" w:rsidRDefault="00192F6F">
      <w:pPr>
        <w:rPr>
          <w:szCs w:val="21"/>
        </w:rPr>
      </w:pPr>
      <w:r>
        <w:rPr>
          <w:szCs w:val="21"/>
        </w:rPr>
        <w:t xml:space="preserve">In LTE </w:t>
      </w:r>
      <w:proofErr w:type="spellStart"/>
      <w:r>
        <w:rPr>
          <w:szCs w:val="21"/>
        </w:rPr>
        <w:t>euCA</w:t>
      </w:r>
      <w:proofErr w:type="spellEnd"/>
      <w:r>
        <w:rPr>
          <w:szCs w:val="21"/>
        </w:rPr>
        <w:t xml:space="preserve">, </w:t>
      </w:r>
      <w:r>
        <w:rPr>
          <w:szCs w:val="21"/>
        </w:rPr>
        <w:t>each configure carrier frequency can be configured with a validity area (</w:t>
      </w:r>
      <w:proofErr w:type="spellStart"/>
      <w:r>
        <w:rPr>
          <w:bCs/>
          <w:i/>
          <w:szCs w:val="21"/>
          <w:lang w:val="en-GB" w:eastAsia="en-GB"/>
        </w:rPr>
        <w:t>validityArea</w:t>
      </w:r>
      <w:proofErr w:type="spellEnd"/>
      <w:r>
        <w:rPr>
          <w:szCs w:val="21"/>
        </w:rPr>
        <w:t xml:space="preserve">). If it is configured, </w:t>
      </w:r>
      <w:r w:rsidR="001258B1">
        <w:rPr>
          <w:szCs w:val="21"/>
        </w:rPr>
        <w:t xml:space="preserve">the </w:t>
      </w:r>
      <w:r>
        <w:rPr>
          <w:szCs w:val="21"/>
        </w:rPr>
        <w:t>UE perform measurement</w:t>
      </w:r>
      <w:r w:rsidR="001258B1">
        <w:rPr>
          <w:szCs w:val="21"/>
        </w:rPr>
        <w:t>s</w:t>
      </w:r>
      <w:r>
        <w:rPr>
          <w:szCs w:val="21"/>
        </w:rPr>
        <w:t xml:space="preserve"> on the correspond</w:t>
      </w:r>
      <w:r>
        <w:rPr>
          <w:szCs w:val="21"/>
        </w:rPr>
        <w:t xml:space="preserve">ing carrier frequency only within the validity area. </w:t>
      </w:r>
    </w:p>
    <w:p w:rsidR="00477CC1" w:rsidRDefault="00192F6F">
      <w:pPr>
        <w:rPr>
          <w:szCs w:val="21"/>
        </w:rPr>
      </w:pPr>
      <w:r>
        <w:rPr>
          <w:szCs w:val="21"/>
        </w:rPr>
        <w:t xml:space="preserve">Besides, </w:t>
      </w:r>
      <w:proofErr w:type="spellStart"/>
      <w:r w:rsidR="001258B1">
        <w:rPr>
          <w:szCs w:val="21"/>
        </w:rPr>
        <w:t>thw</w:t>
      </w:r>
      <w:proofErr w:type="spellEnd"/>
      <w:r w:rsidR="001258B1">
        <w:rPr>
          <w:szCs w:val="21"/>
        </w:rPr>
        <w:t xml:space="preserve"> </w:t>
      </w:r>
      <w:r>
        <w:rPr>
          <w:szCs w:val="21"/>
        </w:rPr>
        <w:t>measure cell list (</w:t>
      </w:r>
      <w:proofErr w:type="spellStart"/>
      <w:r>
        <w:rPr>
          <w:bCs/>
          <w:i/>
          <w:szCs w:val="21"/>
          <w:lang w:val="en-GB" w:eastAsia="en-GB"/>
        </w:rPr>
        <w:t>measCellList</w:t>
      </w:r>
      <w:proofErr w:type="spellEnd"/>
      <w:r>
        <w:rPr>
          <w:szCs w:val="21"/>
        </w:rPr>
        <w:t xml:space="preserve">) can be configured for a carrier frequency. </w:t>
      </w:r>
      <w:r w:rsidR="001258B1">
        <w:rPr>
          <w:szCs w:val="21"/>
        </w:rPr>
        <w:t xml:space="preserve">The </w:t>
      </w:r>
      <w:r>
        <w:rPr>
          <w:szCs w:val="21"/>
        </w:rPr>
        <w:t xml:space="preserve">UE is required to perform measurement on these cells and report results for these cells. </w:t>
      </w:r>
    </w:p>
    <w:p w:rsidR="00477CC1" w:rsidRDefault="00192F6F">
      <w:pPr>
        <w:rPr>
          <w:szCs w:val="21"/>
        </w:rPr>
      </w:pPr>
      <w:r>
        <w:rPr>
          <w:szCs w:val="21"/>
        </w:rPr>
        <w:t xml:space="preserve">When </w:t>
      </w:r>
      <w:r w:rsidR="001258B1">
        <w:rPr>
          <w:szCs w:val="21"/>
        </w:rPr>
        <w:t xml:space="preserve">the </w:t>
      </w:r>
      <w:r>
        <w:rPr>
          <w:szCs w:val="21"/>
        </w:rPr>
        <w:t xml:space="preserve">UE is configured with </w:t>
      </w:r>
      <w:r>
        <w:rPr>
          <w:szCs w:val="21"/>
        </w:rPr>
        <w:t xml:space="preserve">UE dedicated early measurement configuration, </w:t>
      </w:r>
      <w:proofErr w:type="gramStart"/>
      <w:r>
        <w:rPr>
          <w:szCs w:val="21"/>
        </w:rPr>
        <w:t>a time</w:t>
      </w:r>
      <w:proofErr w:type="gramEnd"/>
      <w:r>
        <w:rPr>
          <w:szCs w:val="21"/>
        </w:rPr>
        <w:t xml:space="preserve"> duration (</w:t>
      </w:r>
      <w:proofErr w:type="spellStart"/>
      <w:r>
        <w:rPr>
          <w:i/>
          <w:iCs/>
          <w:szCs w:val="21"/>
        </w:rPr>
        <w:t>measIdleDuration</w:t>
      </w:r>
      <w:proofErr w:type="spellEnd"/>
      <w:r>
        <w:rPr>
          <w:szCs w:val="21"/>
        </w:rPr>
        <w:t>) provides the time duration when it is required to perform early measurement.</w:t>
      </w:r>
    </w:p>
    <w:p w:rsidR="00477CC1" w:rsidRDefault="00192F6F">
      <w:pPr>
        <w:rPr>
          <w:szCs w:val="21"/>
        </w:rPr>
      </w:pPr>
      <w:r>
        <w:rPr>
          <w:szCs w:val="21"/>
        </w:rPr>
        <w:t>These</w:t>
      </w:r>
      <w:r>
        <w:rPr>
          <w:szCs w:val="21"/>
        </w:rPr>
        <w:t xml:space="preserve"> mechanism</w:t>
      </w:r>
      <w:r w:rsidR="001258B1">
        <w:rPr>
          <w:szCs w:val="21"/>
        </w:rPr>
        <w:t>s</w:t>
      </w:r>
      <w:r>
        <w:rPr>
          <w:szCs w:val="21"/>
        </w:rPr>
        <w:t xml:space="preserve"> provide further flexibility </w:t>
      </w:r>
      <w:r>
        <w:rPr>
          <w:szCs w:val="21"/>
        </w:rPr>
        <w:t>for the</w:t>
      </w:r>
      <w:r>
        <w:rPr>
          <w:szCs w:val="21"/>
        </w:rPr>
        <w:t xml:space="preserve"> network </w:t>
      </w:r>
      <w:r>
        <w:rPr>
          <w:szCs w:val="21"/>
        </w:rPr>
        <w:t xml:space="preserve">to </w:t>
      </w:r>
      <w:r>
        <w:rPr>
          <w:szCs w:val="21"/>
        </w:rPr>
        <w:t xml:space="preserve">control </w:t>
      </w:r>
      <w:r w:rsidR="001258B1">
        <w:rPr>
          <w:szCs w:val="21"/>
        </w:rPr>
        <w:t xml:space="preserve">the </w:t>
      </w:r>
      <w:r>
        <w:rPr>
          <w:szCs w:val="21"/>
        </w:rPr>
        <w:t xml:space="preserve">UE behavior. </w:t>
      </w:r>
      <w:r w:rsidR="001258B1">
        <w:rPr>
          <w:szCs w:val="21"/>
        </w:rPr>
        <w:t>The n</w:t>
      </w:r>
      <w:r>
        <w:rPr>
          <w:szCs w:val="21"/>
        </w:rPr>
        <w:t xml:space="preserve">etwork can configure these according to </w:t>
      </w:r>
      <w:r>
        <w:rPr>
          <w:szCs w:val="21"/>
        </w:rPr>
        <w:t xml:space="preserve">network </w:t>
      </w:r>
      <w:r>
        <w:rPr>
          <w:szCs w:val="21"/>
        </w:rPr>
        <w:t xml:space="preserve">deployment and </w:t>
      </w:r>
      <w:r>
        <w:rPr>
          <w:szCs w:val="21"/>
        </w:rPr>
        <w:t xml:space="preserve">its </w:t>
      </w:r>
      <w:r>
        <w:rPr>
          <w:szCs w:val="21"/>
        </w:rPr>
        <w:t xml:space="preserve">preference. </w:t>
      </w:r>
      <w:r>
        <w:rPr>
          <w:szCs w:val="21"/>
        </w:rPr>
        <w:t>Since t</w:t>
      </w:r>
      <w:r>
        <w:rPr>
          <w:szCs w:val="21"/>
        </w:rPr>
        <w:t>hese mechanism</w:t>
      </w:r>
      <w:r w:rsidR="001258B1">
        <w:rPr>
          <w:szCs w:val="21"/>
        </w:rPr>
        <w:t>s</w:t>
      </w:r>
      <w:r>
        <w:rPr>
          <w:szCs w:val="21"/>
        </w:rPr>
        <w:t xml:space="preserve"> </w:t>
      </w:r>
      <w:r>
        <w:rPr>
          <w:szCs w:val="21"/>
        </w:rPr>
        <w:t>are not RAT dependent, they can be</w:t>
      </w:r>
      <w:r>
        <w:rPr>
          <w:szCs w:val="21"/>
        </w:rPr>
        <w:t xml:space="preserve"> reused</w:t>
      </w:r>
      <w:r>
        <w:rPr>
          <w:szCs w:val="21"/>
        </w:rPr>
        <w:t xml:space="preserve"> in NR early measurement configuration</w:t>
      </w:r>
      <w:r>
        <w:rPr>
          <w:szCs w:val="21"/>
        </w:rPr>
        <w:t>.</w:t>
      </w:r>
    </w:p>
    <w:p w:rsidR="00477CC1" w:rsidRDefault="00192F6F">
      <w:pPr>
        <w:rPr>
          <w:b/>
          <w:bCs/>
          <w:szCs w:val="21"/>
        </w:rPr>
      </w:pPr>
      <w:r>
        <w:rPr>
          <w:b/>
          <w:bCs/>
          <w:szCs w:val="21"/>
        </w:rPr>
        <w:t xml:space="preserve">Proposal 2: LTE </w:t>
      </w:r>
      <w:proofErr w:type="spellStart"/>
      <w:r>
        <w:rPr>
          <w:b/>
          <w:bCs/>
          <w:szCs w:val="21"/>
        </w:rPr>
        <w:t>euCA</w:t>
      </w:r>
      <w:proofErr w:type="spellEnd"/>
      <w:r>
        <w:rPr>
          <w:b/>
          <w:bCs/>
          <w:szCs w:val="21"/>
        </w:rPr>
        <w:t xml:space="preserve"> idle measurement </w:t>
      </w:r>
      <w:r>
        <w:rPr>
          <w:b/>
          <w:bCs/>
          <w:szCs w:val="21"/>
        </w:rPr>
        <w:t>mechanism</w:t>
      </w:r>
      <w:r>
        <w:rPr>
          <w:b/>
          <w:bCs/>
          <w:szCs w:val="21"/>
        </w:rPr>
        <w:t xml:space="preserve">s, </w:t>
      </w:r>
      <w:r>
        <w:rPr>
          <w:b/>
          <w:bCs/>
          <w:szCs w:val="21"/>
        </w:rPr>
        <w:t xml:space="preserve">including validity area, measure cell list and measure </w:t>
      </w:r>
      <w:r w:rsidR="001258B1">
        <w:rPr>
          <w:b/>
          <w:bCs/>
          <w:szCs w:val="21"/>
        </w:rPr>
        <w:t>duration</w:t>
      </w:r>
      <w:r>
        <w:rPr>
          <w:b/>
          <w:bCs/>
          <w:szCs w:val="21"/>
        </w:rPr>
        <w:t xml:space="preserve"> </w:t>
      </w:r>
      <w:r>
        <w:rPr>
          <w:rFonts w:hint="eastAsia"/>
          <w:b/>
          <w:bCs/>
          <w:szCs w:val="21"/>
        </w:rPr>
        <w:t>can be considered as baseline</w:t>
      </w:r>
      <w:r>
        <w:rPr>
          <w:b/>
          <w:bCs/>
          <w:szCs w:val="21"/>
        </w:rPr>
        <w:t xml:space="preserve"> in NR early measurement.</w:t>
      </w:r>
    </w:p>
    <w:p w:rsidR="00477CC1" w:rsidRDefault="00477CC1">
      <w:pPr>
        <w:rPr>
          <w:b/>
          <w:bCs/>
          <w:szCs w:val="21"/>
        </w:rPr>
      </w:pPr>
    </w:p>
    <w:p w:rsidR="00477CC1" w:rsidRDefault="00192F6F">
      <w:pPr>
        <w:rPr>
          <w:szCs w:val="21"/>
        </w:rPr>
      </w:pPr>
      <w:r>
        <w:rPr>
          <w:szCs w:val="21"/>
        </w:rPr>
        <w:t xml:space="preserve">LTE </w:t>
      </w:r>
      <w:proofErr w:type="spellStart"/>
      <w:r>
        <w:rPr>
          <w:szCs w:val="21"/>
        </w:rPr>
        <w:t>euCA</w:t>
      </w:r>
      <w:proofErr w:type="spellEnd"/>
      <w:r>
        <w:rPr>
          <w:szCs w:val="21"/>
        </w:rPr>
        <w:t xml:space="preserve"> support</w:t>
      </w:r>
      <w:r w:rsidR="00A62FFF">
        <w:rPr>
          <w:szCs w:val="21"/>
        </w:rPr>
        <w:t>s</w:t>
      </w:r>
      <w:r>
        <w:rPr>
          <w:szCs w:val="21"/>
        </w:rPr>
        <w:t xml:space="preserve"> two kinds of early measurement configuration</w:t>
      </w:r>
      <w:r w:rsidR="00A62FFF">
        <w:rPr>
          <w:szCs w:val="21"/>
        </w:rPr>
        <w:t>s</w:t>
      </w:r>
      <w:r>
        <w:rPr>
          <w:szCs w:val="21"/>
        </w:rPr>
        <w:t xml:space="preserve">: UE dedicated and cell common configuration. </w:t>
      </w:r>
      <w:r w:rsidR="00A62FFF">
        <w:rPr>
          <w:szCs w:val="21"/>
        </w:rPr>
        <w:t xml:space="preserve">The </w:t>
      </w:r>
      <w:r>
        <w:rPr>
          <w:szCs w:val="21"/>
        </w:rPr>
        <w:t>UE is configured with dedica</w:t>
      </w:r>
      <w:r>
        <w:rPr>
          <w:szCs w:val="21"/>
        </w:rPr>
        <w:t>ted measurement configuration when it is released</w:t>
      </w:r>
      <w:r>
        <w:rPr>
          <w:szCs w:val="21"/>
        </w:rPr>
        <w:t xml:space="preserve"> to RRC IDLE</w:t>
      </w:r>
      <w:r>
        <w:rPr>
          <w:szCs w:val="21"/>
        </w:rPr>
        <w:t xml:space="preserve">. Besides, </w:t>
      </w:r>
      <w:r w:rsidR="00A62FFF">
        <w:rPr>
          <w:szCs w:val="21"/>
        </w:rPr>
        <w:t xml:space="preserve">the </w:t>
      </w:r>
      <w:r>
        <w:rPr>
          <w:szCs w:val="21"/>
        </w:rPr>
        <w:t xml:space="preserve">network can configure cell common configuration via system information. If </w:t>
      </w:r>
      <w:r w:rsidR="00A62FFF">
        <w:rPr>
          <w:szCs w:val="21"/>
        </w:rPr>
        <w:t xml:space="preserve">the </w:t>
      </w:r>
      <w:r>
        <w:rPr>
          <w:szCs w:val="21"/>
        </w:rPr>
        <w:t xml:space="preserve">UE is required to perform idle mode measurement but </w:t>
      </w:r>
      <w:r>
        <w:rPr>
          <w:szCs w:val="21"/>
        </w:rPr>
        <w:t xml:space="preserve">it </w:t>
      </w:r>
      <w:r>
        <w:rPr>
          <w:szCs w:val="21"/>
        </w:rPr>
        <w:t xml:space="preserve">is not configured </w:t>
      </w:r>
      <w:r>
        <w:rPr>
          <w:szCs w:val="21"/>
        </w:rPr>
        <w:t xml:space="preserve">with </w:t>
      </w:r>
      <w:r>
        <w:rPr>
          <w:szCs w:val="21"/>
        </w:rPr>
        <w:t>dedicated configuration, it per</w:t>
      </w:r>
      <w:r>
        <w:rPr>
          <w:szCs w:val="21"/>
        </w:rPr>
        <w:t>form</w:t>
      </w:r>
      <w:r>
        <w:rPr>
          <w:szCs w:val="21"/>
        </w:rPr>
        <w:t>s</w:t>
      </w:r>
      <w:r>
        <w:rPr>
          <w:szCs w:val="21"/>
        </w:rPr>
        <w:t xml:space="preserve"> measurement according to cell common configuration.</w:t>
      </w:r>
    </w:p>
    <w:p w:rsidR="00477CC1" w:rsidRDefault="00A62FFF">
      <w:pPr>
        <w:rPr>
          <w:szCs w:val="21"/>
        </w:rPr>
      </w:pPr>
      <w:r>
        <w:rPr>
          <w:szCs w:val="21"/>
        </w:rPr>
        <w:t>T</w:t>
      </w:r>
      <w:r w:rsidR="00192F6F">
        <w:rPr>
          <w:szCs w:val="21"/>
        </w:rPr>
        <w:t>his approach provides flexibility of configuration, i.e. UE dedicated configuration can be configured according to UE capability, while cell common configuration provides more localiz</w:t>
      </w:r>
      <w:r w:rsidR="00192F6F">
        <w:rPr>
          <w:szCs w:val="21"/>
        </w:rPr>
        <w:t>ed configuration.</w:t>
      </w:r>
    </w:p>
    <w:p w:rsidR="00477CC1" w:rsidRDefault="00192F6F">
      <w:pPr>
        <w:rPr>
          <w:b/>
          <w:bCs/>
          <w:szCs w:val="21"/>
        </w:rPr>
      </w:pPr>
      <w:r>
        <w:rPr>
          <w:b/>
          <w:bCs/>
          <w:szCs w:val="21"/>
        </w:rPr>
        <w:t>Proposal 3: Both UE dedicated and cell common early measurement configuration should be supported in NR RRC. UE dedicated configuration is configured via RRC release message. Cell common configuration is contained in system information.</w:t>
      </w:r>
    </w:p>
    <w:p w:rsidR="00477CC1" w:rsidRDefault="00477CC1">
      <w:pPr>
        <w:rPr>
          <w:szCs w:val="21"/>
        </w:rPr>
      </w:pPr>
    </w:p>
    <w:p w:rsidR="00477CC1" w:rsidRDefault="00192F6F">
      <w:pPr>
        <w:rPr>
          <w:i/>
          <w:iCs/>
          <w:szCs w:val="21"/>
          <w:u w:val="single"/>
        </w:rPr>
      </w:pPr>
      <w:r>
        <w:rPr>
          <w:i/>
          <w:iCs/>
          <w:szCs w:val="21"/>
          <w:u w:val="single"/>
        </w:rPr>
        <w:t xml:space="preserve">Reference signal for NR early measurement </w:t>
      </w:r>
    </w:p>
    <w:p w:rsidR="00477CC1" w:rsidRDefault="00192F6F">
      <w:pPr>
        <w:rPr>
          <w:szCs w:val="21"/>
        </w:rPr>
      </w:pPr>
      <w:r>
        <w:rPr>
          <w:szCs w:val="21"/>
        </w:rPr>
        <w:t xml:space="preserve">NR supports both SSB based and CSI-RS resource based measurement for UE in RRC CONNECTED, while </w:t>
      </w:r>
      <w:r>
        <w:rPr>
          <w:szCs w:val="21"/>
        </w:rPr>
        <w:t>only support</w:t>
      </w:r>
      <w:r w:rsidR="00A62FFF">
        <w:rPr>
          <w:szCs w:val="21"/>
        </w:rPr>
        <w:t>s</w:t>
      </w:r>
      <w:r>
        <w:rPr>
          <w:szCs w:val="21"/>
        </w:rPr>
        <w:t xml:space="preserve"> </w:t>
      </w:r>
      <w:r>
        <w:rPr>
          <w:szCs w:val="21"/>
        </w:rPr>
        <w:t>SSB based measurement for idle mobility</w:t>
      </w:r>
      <w:r>
        <w:rPr>
          <w:szCs w:val="21"/>
        </w:rPr>
        <w:t xml:space="preserve"> for now</w:t>
      </w:r>
      <w:r>
        <w:rPr>
          <w:szCs w:val="21"/>
        </w:rPr>
        <w:t xml:space="preserve">. But it is worth considering whether CSI-RS resource based early measurement can </w:t>
      </w:r>
      <w:r>
        <w:rPr>
          <w:szCs w:val="21"/>
        </w:rPr>
        <w:t xml:space="preserve">also </w:t>
      </w:r>
      <w:r>
        <w:rPr>
          <w:szCs w:val="21"/>
        </w:rPr>
        <w:t xml:space="preserve">be supported. </w:t>
      </w:r>
      <w:r>
        <w:rPr>
          <w:szCs w:val="21"/>
        </w:rPr>
        <w:t xml:space="preserve">RAN2 has already agreed CSI-RS can operate without SSB, </w:t>
      </w:r>
      <w:r w:rsidR="00A62FFF">
        <w:rPr>
          <w:szCs w:val="21"/>
        </w:rPr>
        <w:t xml:space="preserve">so </w:t>
      </w:r>
      <w:r>
        <w:rPr>
          <w:szCs w:val="21"/>
        </w:rPr>
        <w:t>support</w:t>
      </w:r>
      <w:r w:rsidR="00A62FFF">
        <w:rPr>
          <w:szCs w:val="21"/>
        </w:rPr>
        <w:t>ing</w:t>
      </w:r>
      <w:r>
        <w:rPr>
          <w:szCs w:val="21"/>
        </w:rPr>
        <w:t xml:space="preserve"> CSI-RS resource based early measurement is reasonable. Otherwise, the applicabil</w:t>
      </w:r>
      <w:r>
        <w:rPr>
          <w:szCs w:val="21"/>
        </w:rPr>
        <w:t>ity of early measurement will be limited.</w:t>
      </w:r>
    </w:p>
    <w:p w:rsidR="00477CC1" w:rsidRDefault="00192F6F">
      <w:pPr>
        <w:rPr>
          <w:b/>
          <w:bCs/>
          <w:szCs w:val="21"/>
        </w:rPr>
      </w:pPr>
      <w:r>
        <w:rPr>
          <w:b/>
          <w:bCs/>
          <w:szCs w:val="21"/>
        </w:rPr>
        <w:t>Proposal 4: Both SSB based and CSI-RS resource based early measurement for NR carrier should be supported.</w:t>
      </w:r>
    </w:p>
    <w:p w:rsidR="00477CC1" w:rsidRDefault="00477CC1">
      <w:pPr>
        <w:rPr>
          <w:szCs w:val="21"/>
        </w:rPr>
      </w:pPr>
    </w:p>
    <w:p w:rsidR="00477CC1" w:rsidRDefault="00192F6F">
      <w:pPr>
        <w:rPr>
          <w:b/>
          <w:bCs/>
          <w:szCs w:val="21"/>
        </w:rPr>
      </w:pPr>
      <w:r>
        <w:rPr>
          <w:i/>
          <w:iCs/>
          <w:szCs w:val="21"/>
          <w:u w:val="single"/>
        </w:rPr>
        <w:lastRenderedPageBreak/>
        <w:t>Procedure of results report</w:t>
      </w:r>
    </w:p>
    <w:p w:rsidR="00477CC1" w:rsidRDefault="00192F6F">
      <w:pPr>
        <w:jc w:val="left"/>
        <w:rPr>
          <w:szCs w:val="21"/>
        </w:rPr>
      </w:pPr>
      <w:r>
        <w:rPr>
          <w:szCs w:val="21"/>
        </w:rPr>
        <w:t xml:space="preserve">Figure 1 shows the </w:t>
      </w:r>
      <w:r>
        <w:rPr>
          <w:szCs w:val="21"/>
        </w:rPr>
        <w:t xml:space="preserve">idle </w:t>
      </w:r>
      <w:r>
        <w:rPr>
          <w:szCs w:val="21"/>
        </w:rPr>
        <w:t xml:space="preserve">measurement report procedure in LTE </w:t>
      </w:r>
      <w:proofErr w:type="spellStart"/>
      <w:r>
        <w:rPr>
          <w:szCs w:val="21"/>
        </w:rPr>
        <w:t>ueCA</w:t>
      </w:r>
      <w:proofErr w:type="spellEnd"/>
      <w:r>
        <w:rPr>
          <w:szCs w:val="21"/>
        </w:rPr>
        <w:t>.</w:t>
      </w:r>
    </w:p>
    <w:bookmarkStart w:id="2" w:name="_GoBack"/>
    <w:p w:rsidR="00477CC1" w:rsidRDefault="00477CC1">
      <w:pPr>
        <w:jc w:val="center"/>
        <w:rPr>
          <w:szCs w:val="21"/>
        </w:rPr>
      </w:pPr>
      <w:r>
        <w:object w:dxaOrig="1910" w:dyaOrig="2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9.7pt;height:190.1pt" o:ole="">
            <v:imagedata r:id="rId9" o:title=""/>
            <o:lock v:ext="edit" aspectratio="f"/>
          </v:shape>
          <o:OLEObject Type="Embed" ProgID="Visio.Drawing.11" ShapeID="_x0000_i1025" DrawAspect="Content" ObjectID="_1611724249" r:id="rId10"/>
        </w:object>
      </w:r>
      <w:bookmarkEnd w:id="2"/>
    </w:p>
    <w:p w:rsidR="00477CC1" w:rsidRDefault="00192F6F">
      <w:pPr>
        <w:jc w:val="center"/>
        <w:rPr>
          <w:i/>
          <w:iCs/>
          <w:szCs w:val="21"/>
        </w:rPr>
      </w:pPr>
      <w:r>
        <w:rPr>
          <w:i/>
          <w:iCs/>
          <w:szCs w:val="21"/>
        </w:rPr>
        <w:t>Figure 1: idle measurement results report procedure in LTE euCA</w:t>
      </w:r>
    </w:p>
    <w:p w:rsidR="00477CC1" w:rsidRDefault="00A62FFF">
      <w:pPr>
        <w:rPr>
          <w:szCs w:val="21"/>
        </w:rPr>
      </w:pPr>
      <w:r>
        <w:rPr>
          <w:szCs w:val="21"/>
        </w:rPr>
        <w:t>In F</w:t>
      </w:r>
      <w:r w:rsidR="00192F6F">
        <w:rPr>
          <w:szCs w:val="21"/>
        </w:rPr>
        <w:t xml:space="preserve">igure 1, </w:t>
      </w:r>
      <w:r>
        <w:rPr>
          <w:szCs w:val="21"/>
        </w:rPr>
        <w:t xml:space="preserve">the </w:t>
      </w:r>
      <w:r w:rsidR="00192F6F">
        <w:rPr>
          <w:szCs w:val="21"/>
        </w:rPr>
        <w:t xml:space="preserve">network can indicated in SIB2 whether is can handle early measurement results. When </w:t>
      </w:r>
      <w:r>
        <w:rPr>
          <w:szCs w:val="21"/>
        </w:rPr>
        <w:t xml:space="preserve">the </w:t>
      </w:r>
      <w:r w:rsidR="00192F6F">
        <w:rPr>
          <w:szCs w:val="21"/>
        </w:rPr>
        <w:t>UE initiate</w:t>
      </w:r>
      <w:r w:rsidR="00192F6F">
        <w:rPr>
          <w:szCs w:val="21"/>
        </w:rPr>
        <w:t>s</w:t>
      </w:r>
      <w:r>
        <w:rPr>
          <w:szCs w:val="21"/>
        </w:rPr>
        <w:t xml:space="preserve"> the</w:t>
      </w:r>
      <w:r w:rsidR="00192F6F">
        <w:rPr>
          <w:szCs w:val="21"/>
        </w:rPr>
        <w:t xml:space="preserve"> RRC connection setup procedure, if </w:t>
      </w:r>
      <w:r>
        <w:rPr>
          <w:szCs w:val="21"/>
        </w:rPr>
        <w:t xml:space="preserve">the </w:t>
      </w:r>
      <w:r w:rsidR="00192F6F">
        <w:rPr>
          <w:szCs w:val="21"/>
        </w:rPr>
        <w:t xml:space="preserve">current </w:t>
      </w:r>
      <w:r w:rsidR="00192F6F">
        <w:rPr>
          <w:szCs w:val="21"/>
        </w:rPr>
        <w:t xml:space="preserve">serving </w:t>
      </w:r>
      <w:r w:rsidR="00192F6F">
        <w:rPr>
          <w:szCs w:val="21"/>
        </w:rPr>
        <w:t>cell can handl</w:t>
      </w:r>
      <w:r w:rsidR="00192F6F">
        <w:rPr>
          <w:szCs w:val="21"/>
        </w:rPr>
        <w:t xml:space="preserve">e </w:t>
      </w:r>
      <w:r w:rsidR="00192F6F">
        <w:rPr>
          <w:szCs w:val="21"/>
        </w:rPr>
        <w:t xml:space="preserve">idle measurement report </w:t>
      </w:r>
      <w:r w:rsidR="00192F6F">
        <w:rPr>
          <w:szCs w:val="21"/>
        </w:rPr>
        <w:t xml:space="preserve">and </w:t>
      </w:r>
      <w:r>
        <w:rPr>
          <w:szCs w:val="21"/>
        </w:rPr>
        <w:t xml:space="preserve">the </w:t>
      </w:r>
      <w:r w:rsidR="00192F6F">
        <w:rPr>
          <w:szCs w:val="21"/>
        </w:rPr>
        <w:t xml:space="preserve">UE has valid results, the UE </w:t>
      </w:r>
      <w:r w:rsidR="00192F6F">
        <w:rPr>
          <w:szCs w:val="21"/>
        </w:rPr>
        <w:t xml:space="preserve">indicates that </w:t>
      </w:r>
      <w:r w:rsidR="00192F6F">
        <w:rPr>
          <w:szCs w:val="21"/>
        </w:rPr>
        <w:t xml:space="preserve">it has valid </w:t>
      </w:r>
      <w:r w:rsidR="00192F6F">
        <w:rPr>
          <w:szCs w:val="21"/>
        </w:rPr>
        <w:t xml:space="preserve">idle </w:t>
      </w:r>
      <w:r w:rsidR="00192F6F">
        <w:rPr>
          <w:szCs w:val="21"/>
        </w:rPr>
        <w:t xml:space="preserve">measurement results in </w:t>
      </w:r>
      <w:r w:rsidR="00192F6F">
        <w:rPr>
          <w:i/>
          <w:iCs/>
          <w:szCs w:val="21"/>
        </w:rPr>
        <w:t>RRC</w:t>
      </w:r>
      <w:r w:rsidR="00192F6F">
        <w:rPr>
          <w:i/>
          <w:iCs/>
          <w:szCs w:val="21"/>
        </w:rPr>
        <w:t>C</w:t>
      </w:r>
      <w:r w:rsidR="00192F6F">
        <w:rPr>
          <w:i/>
          <w:iCs/>
          <w:szCs w:val="21"/>
        </w:rPr>
        <w:t>onnection</w:t>
      </w:r>
      <w:r w:rsidR="00192F6F">
        <w:rPr>
          <w:i/>
          <w:iCs/>
          <w:szCs w:val="21"/>
        </w:rPr>
        <w:t>S</w:t>
      </w:r>
      <w:r w:rsidR="00192F6F">
        <w:rPr>
          <w:i/>
          <w:iCs/>
          <w:szCs w:val="21"/>
        </w:rPr>
        <w:t>etup</w:t>
      </w:r>
      <w:r w:rsidR="00192F6F">
        <w:rPr>
          <w:i/>
          <w:iCs/>
          <w:szCs w:val="21"/>
        </w:rPr>
        <w:t>C</w:t>
      </w:r>
      <w:r w:rsidR="00192F6F">
        <w:rPr>
          <w:i/>
          <w:iCs/>
          <w:szCs w:val="21"/>
        </w:rPr>
        <w:t>omplete</w:t>
      </w:r>
      <w:r w:rsidR="00192F6F">
        <w:rPr>
          <w:szCs w:val="21"/>
        </w:rPr>
        <w:t xml:space="preserve"> message.</w:t>
      </w:r>
    </w:p>
    <w:p w:rsidR="00477CC1" w:rsidRDefault="00192F6F">
      <w:pPr>
        <w:rPr>
          <w:szCs w:val="21"/>
        </w:rPr>
      </w:pPr>
      <w:r>
        <w:rPr>
          <w:szCs w:val="21"/>
        </w:rPr>
        <w:t xml:space="preserve">After SMC, network requests the UE to report measurement results via </w:t>
      </w:r>
      <w:r>
        <w:rPr>
          <w:i/>
          <w:iCs/>
          <w:szCs w:val="21"/>
        </w:rPr>
        <w:t>UEInformationRequest</w:t>
      </w:r>
      <w:r>
        <w:rPr>
          <w:szCs w:val="21"/>
        </w:rPr>
        <w:t xml:space="preserve">. </w:t>
      </w:r>
      <w:proofErr w:type="gramStart"/>
      <w:r w:rsidR="00A62FFF">
        <w:rPr>
          <w:szCs w:val="21"/>
        </w:rPr>
        <w:t xml:space="preserve">The </w:t>
      </w:r>
      <w:r>
        <w:rPr>
          <w:szCs w:val="21"/>
        </w:rPr>
        <w:t xml:space="preserve">UE responses with </w:t>
      </w:r>
      <w:proofErr w:type="spellStart"/>
      <w:r>
        <w:rPr>
          <w:i/>
          <w:iCs/>
          <w:szCs w:val="21"/>
        </w:rPr>
        <w:t>UEInformationResponse</w:t>
      </w:r>
      <w:proofErr w:type="spellEnd"/>
      <w:r w:rsidR="00A62FFF">
        <w:rPr>
          <w:szCs w:val="21"/>
        </w:rPr>
        <w:t xml:space="preserve"> containing</w:t>
      </w:r>
      <w:r>
        <w:rPr>
          <w:szCs w:val="21"/>
        </w:rPr>
        <w:t xml:space="preserve"> measurement results.</w:t>
      </w:r>
      <w:proofErr w:type="gramEnd"/>
    </w:p>
    <w:p w:rsidR="00477CC1" w:rsidRDefault="00192F6F">
      <w:pPr>
        <w:rPr>
          <w:szCs w:val="21"/>
        </w:rPr>
      </w:pPr>
      <w:r>
        <w:rPr>
          <w:szCs w:val="21"/>
        </w:rPr>
        <w:t>With this</w:t>
      </w:r>
      <w:r>
        <w:rPr>
          <w:szCs w:val="21"/>
        </w:rPr>
        <w:t xml:space="preserve"> 3 step approach</w:t>
      </w:r>
      <w:r>
        <w:rPr>
          <w:szCs w:val="21"/>
        </w:rPr>
        <w:t xml:space="preserve">, </w:t>
      </w:r>
      <w:r w:rsidR="00A62FFF">
        <w:rPr>
          <w:szCs w:val="21"/>
        </w:rPr>
        <w:t xml:space="preserve">the </w:t>
      </w:r>
      <w:r>
        <w:rPr>
          <w:szCs w:val="21"/>
        </w:rPr>
        <w:t>UE report</w:t>
      </w:r>
      <w:r w:rsidR="00A62FFF">
        <w:rPr>
          <w:szCs w:val="21"/>
        </w:rPr>
        <w:t>s</w:t>
      </w:r>
      <w:r>
        <w:rPr>
          <w:szCs w:val="21"/>
        </w:rPr>
        <w:t xml:space="preserve"> idle measurement results only when </w:t>
      </w:r>
      <w:r w:rsidR="00A62FFF">
        <w:rPr>
          <w:szCs w:val="21"/>
        </w:rPr>
        <w:t xml:space="preserve">the </w:t>
      </w:r>
      <w:r>
        <w:rPr>
          <w:szCs w:val="21"/>
        </w:rPr>
        <w:t xml:space="preserve">network can handle </w:t>
      </w:r>
      <w:r>
        <w:rPr>
          <w:szCs w:val="21"/>
        </w:rPr>
        <w:t xml:space="preserve">requests measurement results. It could </w:t>
      </w:r>
      <w:r>
        <w:rPr>
          <w:szCs w:val="21"/>
        </w:rPr>
        <w:t xml:space="preserve">be reused as </w:t>
      </w:r>
      <w:r w:rsidR="00A62FFF">
        <w:rPr>
          <w:szCs w:val="21"/>
        </w:rPr>
        <w:t>the baseline for</w:t>
      </w:r>
      <w:r>
        <w:rPr>
          <w:szCs w:val="21"/>
        </w:rPr>
        <w:t xml:space="preserve"> early measu</w:t>
      </w:r>
      <w:r w:rsidR="00A62FFF">
        <w:rPr>
          <w:szCs w:val="21"/>
        </w:rPr>
        <w:t>rement result</w:t>
      </w:r>
      <w:r>
        <w:rPr>
          <w:szCs w:val="21"/>
        </w:rPr>
        <w:t xml:space="preserve"> report</w:t>
      </w:r>
      <w:r w:rsidR="00A62FFF">
        <w:rPr>
          <w:szCs w:val="21"/>
        </w:rPr>
        <w:t>ing</w:t>
      </w:r>
      <w:r>
        <w:rPr>
          <w:szCs w:val="21"/>
        </w:rPr>
        <w:t xml:space="preserve"> in NR RRC, while the details may be different to that in LTE euCA.</w:t>
      </w:r>
    </w:p>
    <w:p w:rsidR="00477CC1" w:rsidRDefault="00192F6F">
      <w:pPr>
        <w:rPr>
          <w:b/>
          <w:bCs/>
          <w:szCs w:val="21"/>
        </w:rPr>
      </w:pPr>
      <w:r>
        <w:rPr>
          <w:b/>
          <w:bCs/>
          <w:szCs w:val="21"/>
        </w:rPr>
        <w:t xml:space="preserve">Proposal 5: Take 3 step report </w:t>
      </w:r>
      <w:r>
        <w:rPr>
          <w:b/>
          <w:bCs/>
          <w:szCs w:val="21"/>
        </w:rPr>
        <w:t xml:space="preserve">approach </w:t>
      </w:r>
      <w:r>
        <w:rPr>
          <w:b/>
          <w:bCs/>
          <w:szCs w:val="21"/>
        </w:rPr>
        <w:t>in LTE euCA as the baseline of early measurement report</w:t>
      </w:r>
      <w:r w:rsidR="00A62FFF">
        <w:rPr>
          <w:b/>
          <w:bCs/>
          <w:szCs w:val="21"/>
        </w:rPr>
        <w:t>ing</w:t>
      </w:r>
      <w:r>
        <w:rPr>
          <w:b/>
          <w:bCs/>
          <w:szCs w:val="21"/>
        </w:rPr>
        <w:t xml:space="preserve"> in NR.</w:t>
      </w:r>
    </w:p>
    <w:p w:rsidR="00477CC1" w:rsidRDefault="00477CC1">
      <w:pPr>
        <w:rPr>
          <w:szCs w:val="21"/>
        </w:rPr>
      </w:pPr>
    </w:p>
    <w:p w:rsidR="00477CC1" w:rsidRDefault="00192F6F">
      <w:pPr>
        <w:rPr>
          <w:szCs w:val="21"/>
        </w:rPr>
      </w:pPr>
      <w:r>
        <w:rPr>
          <w:szCs w:val="21"/>
        </w:rPr>
        <w:t>For RRC resume procedure, because msg5 is already security enab</w:t>
      </w:r>
      <w:r>
        <w:rPr>
          <w:szCs w:val="21"/>
        </w:rPr>
        <w:t xml:space="preserve">led, it </w:t>
      </w:r>
      <w:r>
        <w:rPr>
          <w:szCs w:val="21"/>
        </w:rPr>
        <w:t xml:space="preserve">should be </w:t>
      </w:r>
      <w:r>
        <w:rPr>
          <w:szCs w:val="21"/>
        </w:rPr>
        <w:t>feasible to include measurement report in msg5. This will be beneficial in delay reduction, i.e</w:t>
      </w:r>
      <w:r>
        <w:rPr>
          <w:szCs w:val="21"/>
        </w:rPr>
        <w:t>.</w:t>
      </w:r>
      <w:r>
        <w:rPr>
          <w:szCs w:val="21"/>
        </w:rPr>
        <w:t xml:space="preserve"> additional RRC message for request / report is saved.</w:t>
      </w:r>
    </w:p>
    <w:p w:rsidR="00477CC1" w:rsidRDefault="00192F6F">
      <w:pPr>
        <w:rPr>
          <w:szCs w:val="21"/>
        </w:rPr>
      </w:pPr>
      <w:r>
        <w:rPr>
          <w:szCs w:val="21"/>
        </w:rPr>
        <w:t>If we agree to include measurement report in m</w:t>
      </w:r>
      <w:r>
        <w:rPr>
          <w:szCs w:val="21"/>
        </w:rPr>
        <w:t>s</w:t>
      </w:r>
      <w:r>
        <w:rPr>
          <w:szCs w:val="21"/>
        </w:rPr>
        <w:t>g5, one issue is that whether msg3 can i</w:t>
      </w:r>
      <w:r>
        <w:rPr>
          <w:szCs w:val="21"/>
        </w:rPr>
        <w:t xml:space="preserve">ndicate </w:t>
      </w:r>
      <w:r>
        <w:rPr>
          <w:szCs w:val="21"/>
        </w:rPr>
        <w:t>that</w:t>
      </w:r>
      <w:r>
        <w:rPr>
          <w:szCs w:val="21"/>
        </w:rPr>
        <w:t xml:space="preserve"> UE has valid results. If message 3 cannot indicate this, </w:t>
      </w:r>
      <w:r>
        <w:rPr>
          <w:szCs w:val="21"/>
        </w:rPr>
        <w:t>one</w:t>
      </w:r>
      <w:r>
        <w:rPr>
          <w:szCs w:val="21"/>
        </w:rPr>
        <w:t xml:space="preserve"> alternative is network includes request in msg4 blindly, i.e. without UE indicating whether it has valid results. </w:t>
      </w:r>
      <w:r>
        <w:rPr>
          <w:szCs w:val="21"/>
        </w:rPr>
        <w:t>Upon network request,</w:t>
      </w:r>
      <w:r>
        <w:rPr>
          <w:szCs w:val="21"/>
        </w:rPr>
        <w:t xml:space="preserve"> the UE includes results in msg5 if it has, or </w:t>
      </w:r>
      <w:r>
        <w:rPr>
          <w:szCs w:val="21"/>
        </w:rPr>
        <w:t xml:space="preserve">ignores </w:t>
      </w:r>
      <w:r>
        <w:rPr>
          <w:szCs w:val="21"/>
        </w:rPr>
        <w:t>the request</w:t>
      </w:r>
      <w:r>
        <w:rPr>
          <w:szCs w:val="21"/>
        </w:rPr>
        <w:t xml:space="preserve"> if it has not. </w:t>
      </w:r>
      <w:r>
        <w:rPr>
          <w:szCs w:val="21"/>
        </w:rPr>
        <w:t>T</w:t>
      </w:r>
      <w:r>
        <w:rPr>
          <w:szCs w:val="21"/>
        </w:rPr>
        <w:t>his alternative is also acceptable because the worst case is one or two bits in msg4 is wasted.</w:t>
      </w:r>
    </w:p>
    <w:p w:rsidR="00477CC1" w:rsidRDefault="00192F6F">
      <w:pPr>
        <w:rPr>
          <w:b/>
          <w:bCs/>
          <w:szCs w:val="21"/>
        </w:rPr>
      </w:pPr>
      <w:r>
        <w:rPr>
          <w:b/>
          <w:bCs/>
          <w:szCs w:val="21"/>
        </w:rPr>
        <w:t xml:space="preserve">Proposal 6: For </w:t>
      </w:r>
      <w:r>
        <w:rPr>
          <w:b/>
          <w:bCs/>
          <w:szCs w:val="21"/>
        </w:rPr>
        <w:t xml:space="preserve">RRC </w:t>
      </w:r>
      <w:r>
        <w:rPr>
          <w:b/>
          <w:bCs/>
          <w:szCs w:val="21"/>
        </w:rPr>
        <w:t xml:space="preserve">resume procedure, measurement results is included in message 5. FFS whether message 3 can indicate </w:t>
      </w:r>
      <w:r>
        <w:rPr>
          <w:b/>
          <w:bCs/>
          <w:szCs w:val="21"/>
        </w:rPr>
        <w:t xml:space="preserve">the availability of </w:t>
      </w:r>
      <w:r>
        <w:rPr>
          <w:b/>
          <w:bCs/>
          <w:szCs w:val="21"/>
        </w:rPr>
        <w:t>valid measurement results.</w:t>
      </w:r>
    </w:p>
    <w:p w:rsidR="00477CC1" w:rsidRDefault="00477CC1">
      <w:pPr>
        <w:rPr>
          <w:i/>
          <w:iCs/>
          <w:szCs w:val="21"/>
          <w:u w:val="single"/>
        </w:rPr>
      </w:pPr>
    </w:p>
    <w:p w:rsidR="00477CC1" w:rsidRDefault="00192F6F">
      <w:pPr>
        <w:rPr>
          <w:i/>
          <w:iCs/>
          <w:szCs w:val="21"/>
          <w:u w:val="single"/>
        </w:rPr>
      </w:pPr>
      <w:r>
        <w:rPr>
          <w:i/>
          <w:iCs/>
          <w:szCs w:val="21"/>
          <w:u w:val="single"/>
        </w:rPr>
        <w:t xml:space="preserve">Support </w:t>
      </w:r>
      <w:r>
        <w:rPr>
          <w:i/>
          <w:iCs/>
          <w:szCs w:val="21"/>
          <w:u w:val="single"/>
        </w:rPr>
        <w:t xml:space="preserve">of </w:t>
      </w:r>
      <w:r>
        <w:rPr>
          <w:i/>
          <w:iCs/>
          <w:szCs w:val="21"/>
          <w:u w:val="single"/>
        </w:rPr>
        <w:t>MR-DC</w:t>
      </w:r>
    </w:p>
    <w:p w:rsidR="00477CC1" w:rsidRDefault="00192F6F">
      <w:pPr>
        <w:rPr>
          <w:szCs w:val="21"/>
        </w:rPr>
      </w:pPr>
      <w:r>
        <w:rPr>
          <w:szCs w:val="21"/>
        </w:rPr>
        <w:t xml:space="preserve">To support early measurement for MR-DC (NE-DC, EN-DC and NG-EN-DC), </w:t>
      </w:r>
      <w:r w:rsidR="00955AC3">
        <w:rPr>
          <w:szCs w:val="21"/>
        </w:rPr>
        <w:t xml:space="preserve">the </w:t>
      </w:r>
      <w:r>
        <w:rPr>
          <w:szCs w:val="21"/>
        </w:rPr>
        <w:t>UE should perform measurement on both NR carrier and E-UTRAN carrier</w:t>
      </w:r>
      <w:r>
        <w:rPr>
          <w:szCs w:val="21"/>
        </w:rPr>
        <w:t xml:space="preserve"> when it is RRC IDLE or RRC INACTIVE</w:t>
      </w:r>
      <w:r>
        <w:rPr>
          <w:szCs w:val="21"/>
        </w:rPr>
        <w:t>. It includes measu</w:t>
      </w:r>
      <w:r>
        <w:rPr>
          <w:szCs w:val="21"/>
        </w:rPr>
        <w:t xml:space="preserve">rement results of both RAT carrier </w:t>
      </w:r>
      <w:r w:rsidR="00955AC3">
        <w:rPr>
          <w:szCs w:val="21"/>
        </w:rPr>
        <w:t>frequencies</w:t>
      </w:r>
      <w:r>
        <w:rPr>
          <w:szCs w:val="21"/>
        </w:rPr>
        <w:t xml:space="preserve"> </w:t>
      </w:r>
      <w:r>
        <w:rPr>
          <w:szCs w:val="21"/>
        </w:rPr>
        <w:t>when it is request</w:t>
      </w:r>
      <w:r w:rsidR="00955AC3">
        <w:rPr>
          <w:szCs w:val="21"/>
        </w:rPr>
        <w:t>ed</w:t>
      </w:r>
      <w:r>
        <w:rPr>
          <w:szCs w:val="21"/>
        </w:rPr>
        <w:t xml:space="preserve"> to report results. Then, </w:t>
      </w:r>
      <w:r w:rsidR="00955AC3">
        <w:rPr>
          <w:szCs w:val="21"/>
        </w:rPr>
        <w:t xml:space="preserve">the </w:t>
      </w:r>
      <w:r>
        <w:rPr>
          <w:szCs w:val="21"/>
        </w:rPr>
        <w:t>network can configure MR-DC according to the early measurement results.</w:t>
      </w:r>
    </w:p>
    <w:p w:rsidR="00477CC1" w:rsidRDefault="00192F6F">
      <w:pPr>
        <w:rPr>
          <w:i/>
          <w:iCs/>
          <w:szCs w:val="21"/>
        </w:rPr>
      </w:pPr>
      <w:r>
        <w:rPr>
          <w:szCs w:val="21"/>
        </w:rPr>
        <w:t>Thus, both NR and E-UTRAN carrier frequency configuration should be contained in UE dedicated e</w:t>
      </w:r>
      <w:r>
        <w:rPr>
          <w:szCs w:val="21"/>
        </w:rPr>
        <w:t xml:space="preserve">arly measurement configuration and cell common early measurement configuration. To save power, </w:t>
      </w:r>
      <w:r w:rsidR="00955AC3">
        <w:rPr>
          <w:szCs w:val="21"/>
        </w:rPr>
        <w:t xml:space="preserve">the </w:t>
      </w:r>
      <w:r>
        <w:rPr>
          <w:szCs w:val="21"/>
        </w:rPr>
        <w:t xml:space="preserve">UE performs measurement on the inter-RAT carrier only when it </w:t>
      </w:r>
      <w:r>
        <w:rPr>
          <w:szCs w:val="21"/>
        </w:rPr>
        <w:t>supports</w:t>
      </w:r>
      <w:r>
        <w:rPr>
          <w:szCs w:val="21"/>
        </w:rPr>
        <w:t xml:space="preserve"> DC configuration between the inter-RAT carrier and current serving cell.</w:t>
      </w:r>
    </w:p>
    <w:p w:rsidR="00477CC1" w:rsidRDefault="00192F6F">
      <w:pPr>
        <w:rPr>
          <w:b/>
          <w:bCs/>
          <w:szCs w:val="21"/>
        </w:rPr>
      </w:pPr>
      <w:r>
        <w:rPr>
          <w:b/>
          <w:bCs/>
          <w:szCs w:val="21"/>
        </w:rPr>
        <w:t>Proposal 7: For M</w:t>
      </w:r>
      <w:r>
        <w:rPr>
          <w:b/>
          <w:bCs/>
          <w:szCs w:val="21"/>
        </w:rPr>
        <w:t xml:space="preserve">R-DC configuration, both NR carrier frequency and E-UTRAN carrier frequency </w:t>
      </w:r>
      <w:r>
        <w:rPr>
          <w:rFonts w:hint="eastAsia"/>
          <w:b/>
          <w:bCs/>
          <w:szCs w:val="21"/>
        </w:rPr>
        <w:t>can be</w:t>
      </w:r>
      <w:r>
        <w:rPr>
          <w:b/>
          <w:bCs/>
          <w:szCs w:val="21"/>
        </w:rPr>
        <w:t xml:space="preserve"> configured in early measurement configuration.</w:t>
      </w:r>
    </w:p>
    <w:p w:rsidR="00477CC1" w:rsidRDefault="00477CC1">
      <w:pPr>
        <w:rPr>
          <w:szCs w:val="21"/>
        </w:rPr>
      </w:pPr>
    </w:p>
    <w:p w:rsidR="00477CC1" w:rsidRDefault="00192F6F">
      <w:pPr>
        <w:rPr>
          <w:i/>
          <w:iCs/>
          <w:szCs w:val="21"/>
          <w:u w:val="single"/>
        </w:rPr>
      </w:pPr>
      <w:r>
        <w:rPr>
          <w:i/>
          <w:iCs/>
          <w:szCs w:val="21"/>
          <w:u w:val="single"/>
        </w:rPr>
        <w:t xml:space="preserve">Differentiation </w:t>
      </w:r>
      <w:r>
        <w:rPr>
          <w:i/>
          <w:iCs/>
          <w:szCs w:val="21"/>
          <w:u w:val="single"/>
        </w:rPr>
        <w:t xml:space="preserve">NR carrier/frequency band </w:t>
      </w:r>
      <w:r>
        <w:rPr>
          <w:i/>
          <w:iCs/>
          <w:szCs w:val="21"/>
          <w:u w:val="single"/>
        </w:rPr>
        <w:t xml:space="preserve">configuration </w:t>
      </w:r>
      <w:r>
        <w:rPr>
          <w:i/>
          <w:iCs/>
          <w:szCs w:val="21"/>
          <w:u w:val="single"/>
        </w:rPr>
        <w:t>for</w:t>
      </w:r>
      <w:r>
        <w:rPr>
          <w:i/>
          <w:iCs/>
          <w:szCs w:val="21"/>
          <w:u w:val="single"/>
        </w:rPr>
        <w:t xml:space="preserve"> NR CA and NR-NR DC</w:t>
      </w:r>
    </w:p>
    <w:p w:rsidR="00477CC1" w:rsidRDefault="00192F6F">
      <w:pPr>
        <w:rPr>
          <w:szCs w:val="21"/>
        </w:rPr>
      </w:pPr>
      <w:r>
        <w:rPr>
          <w:szCs w:val="21"/>
        </w:rPr>
        <w:t>Depending on network deployment, a specific NR</w:t>
      </w:r>
      <w:r>
        <w:rPr>
          <w:szCs w:val="21"/>
        </w:rPr>
        <w:t xml:space="preserve"> carrier/</w:t>
      </w:r>
      <w:r>
        <w:rPr>
          <w:szCs w:val="21"/>
        </w:rPr>
        <w:t xml:space="preserve">frequency </w:t>
      </w:r>
      <w:r>
        <w:rPr>
          <w:szCs w:val="21"/>
        </w:rPr>
        <w:t>band may only</w:t>
      </w:r>
      <w:r>
        <w:rPr>
          <w:szCs w:val="21"/>
        </w:rPr>
        <w:t xml:space="preserve"> support</w:t>
      </w:r>
      <w:r>
        <w:rPr>
          <w:szCs w:val="21"/>
        </w:rPr>
        <w:t xml:space="preserve"> </w:t>
      </w:r>
      <w:r>
        <w:rPr>
          <w:szCs w:val="21"/>
        </w:rPr>
        <w:t xml:space="preserve">NR </w:t>
      </w:r>
      <w:r>
        <w:rPr>
          <w:szCs w:val="21"/>
        </w:rPr>
        <w:t xml:space="preserve">CA or </w:t>
      </w:r>
      <w:r>
        <w:rPr>
          <w:szCs w:val="21"/>
        </w:rPr>
        <w:t xml:space="preserve">NR-NR </w:t>
      </w:r>
      <w:r>
        <w:rPr>
          <w:szCs w:val="21"/>
        </w:rPr>
        <w:t xml:space="preserve">DC with </w:t>
      </w:r>
      <w:r>
        <w:rPr>
          <w:szCs w:val="21"/>
        </w:rPr>
        <w:t xml:space="preserve">UE’s current </w:t>
      </w:r>
      <w:r>
        <w:rPr>
          <w:szCs w:val="21"/>
        </w:rPr>
        <w:t>serving cell</w:t>
      </w:r>
      <w:r>
        <w:rPr>
          <w:szCs w:val="21"/>
        </w:rPr>
        <w:t>.</w:t>
      </w:r>
    </w:p>
    <w:p w:rsidR="00477CC1" w:rsidRDefault="00192F6F">
      <w:pPr>
        <w:rPr>
          <w:szCs w:val="21"/>
        </w:rPr>
      </w:pPr>
      <w:r>
        <w:rPr>
          <w:szCs w:val="21"/>
        </w:rPr>
        <w:t xml:space="preserve">Because </w:t>
      </w:r>
      <w:r w:rsidR="00955AC3">
        <w:rPr>
          <w:szCs w:val="21"/>
        </w:rPr>
        <w:t xml:space="preserve">the </w:t>
      </w:r>
      <w:r>
        <w:rPr>
          <w:szCs w:val="21"/>
        </w:rPr>
        <w:t xml:space="preserve">UE’s supported band combination for NR CA and NR-NR DC may be different, it is meaningful to differentiate NR carrier/frequency band configuration for NR-NR DC and NR CA, i.e. indicating whether a NR carrier frequency support CA or DC with </w:t>
      </w:r>
      <w:r w:rsidR="00955AC3">
        <w:rPr>
          <w:szCs w:val="21"/>
        </w:rPr>
        <w:t xml:space="preserve">the </w:t>
      </w:r>
      <w:r>
        <w:rPr>
          <w:szCs w:val="21"/>
        </w:rPr>
        <w:t xml:space="preserve">current </w:t>
      </w:r>
      <w:r>
        <w:rPr>
          <w:szCs w:val="21"/>
        </w:rPr>
        <w:t xml:space="preserve">serving cell. </w:t>
      </w:r>
      <w:r w:rsidR="00955AC3">
        <w:rPr>
          <w:szCs w:val="21"/>
        </w:rPr>
        <w:t xml:space="preserve">Te </w:t>
      </w:r>
      <w:r>
        <w:rPr>
          <w:szCs w:val="21"/>
        </w:rPr>
        <w:t>UE decides whether to perfo</w:t>
      </w:r>
      <w:r w:rsidR="00955AC3">
        <w:rPr>
          <w:szCs w:val="21"/>
        </w:rPr>
        <w:t xml:space="preserve">rm measurement on this carrier </w:t>
      </w:r>
      <w:r>
        <w:rPr>
          <w:szCs w:val="21"/>
        </w:rPr>
        <w:t xml:space="preserve">according to this information and its capability. </w:t>
      </w:r>
    </w:p>
    <w:p w:rsidR="00477CC1" w:rsidRDefault="00192F6F">
      <w:pPr>
        <w:rPr>
          <w:szCs w:val="21"/>
        </w:rPr>
      </w:pPr>
      <w:r>
        <w:rPr>
          <w:szCs w:val="21"/>
        </w:rPr>
        <w:t xml:space="preserve">With this information, the UE can avoid unnecessary measurement to save power. For example. The UE </w:t>
      </w:r>
      <w:r w:rsidR="00955AC3">
        <w:rPr>
          <w:szCs w:val="21"/>
        </w:rPr>
        <w:t>does</w:t>
      </w:r>
      <w:r>
        <w:rPr>
          <w:szCs w:val="21"/>
        </w:rPr>
        <w:t>n</w:t>
      </w:r>
      <w:r w:rsidR="00955AC3">
        <w:rPr>
          <w:szCs w:val="21"/>
        </w:rPr>
        <w:t>'t n</w:t>
      </w:r>
      <w:r>
        <w:rPr>
          <w:szCs w:val="21"/>
        </w:rPr>
        <w:t>eed</w:t>
      </w:r>
      <w:r>
        <w:rPr>
          <w:szCs w:val="21"/>
        </w:rPr>
        <w:t xml:space="preserve"> to perform measurement </w:t>
      </w:r>
      <w:r>
        <w:rPr>
          <w:szCs w:val="21"/>
        </w:rPr>
        <w:t>on a carrier which only support</w:t>
      </w:r>
      <w:r w:rsidR="00955AC3">
        <w:rPr>
          <w:szCs w:val="21"/>
        </w:rPr>
        <w:t>s</w:t>
      </w:r>
      <w:r>
        <w:rPr>
          <w:szCs w:val="21"/>
        </w:rPr>
        <w:t xml:space="preserve"> CA, if the UE does not support NR CA between this carrier frequency/band and </w:t>
      </w:r>
      <w:r w:rsidR="00955AC3">
        <w:rPr>
          <w:szCs w:val="21"/>
        </w:rPr>
        <w:t xml:space="preserve">the </w:t>
      </w:r>
      <w:r>
        <w:rPr>
          <w:szCs w:val="21"/>
        </w:rPr>
        <w:t>current serving cell.</w:t>
      </w:r>
    </w:p>
    <w:p w:rsidR="00477CC1" w:rsidRDefault="00192F6F">
      <w:pPr>
        <w:rPr>
          <w:szCs w:val="21"/>
        </w:rPr>
      </w:pPr>
      <w:r>
        <w:rPr>
          <w:szCs w:val="21"/>
        </w:rPr>
        <w:t>Further, it is also meaningful to differentiate measurement report according to network deployment or preference (e.g. prefer</w:t>
      </w:r>
      <w:r>
        <w:rPr>
          <w:szCs w:val="21"/>
        </w:rPr>
        <w:t xml:space="preserve"> to configure CA only for RRC setup case, and configure DC for RRC resume case). The network should be able to request measurement report</w:t>
      </w:r>
      <w:r w:rsidR="00955AC3">
        <w:rPr>
          <w:szCs w:val="21"/>
        </w:rPr>
        <w:t>s applicable for NR CA or NR-</w:t>
      </w:r>
      <w:r>
        <w:rPr>
          <w:szCs w:val="21"/>
        </w:rPr>
        <w:t>DC separately.</w:t>
      </w:r>
    </w:p>
    <w:p w:rsidR="00477CC1" w:rsidRDefault="00192F6F">
      <w:pPr>
        <w:rPr>
          <w:b/>
          <w:bCs/>
          <w:szCs w:val="21"/>
        </w:rPr>
      </w:pPr>
      <w:r>
        <w:rPr>
          <w:rStyle w:val="Strong"/>
          <w:rFonts w:eastAsia="宋体"/>
          <w:color w:val="000000"/>
          <w:szCs w:val="21"/>
          <w:shd w:val="clear" w:color="auto" w:fill="FFFFFF"/>
        </w:rPr>
        <w:t>P</w:t>
      </w:r>
      <w:r>
        <w:rPr>
          <w:rStyle w:val="Strong"/>
          <w:rFonts w:eastAsia="宋体"/>
          <w:color w:val="000000"/>
          <w:szCs w:val="21"/>
          <w:shd w:val="clear" w:color="auto" w:fill="FFFFFF"/>
        </w:rPr>
        <w:t xml:space="preserve">roposal 8: </w:t>
      </w:r>
      <w:r>
        <w:rPr>
          <w:rStyle w:val="Strong"/>
          <w:rFonts w:eastAsia="宋体"/>
          <w:color w:val="000000"/>
          <w:szCs w:val="21"/>
          <w:shd w:val="clear" w:color="auto" w:fill="FFFFFF"/>
        </w:rPr>
        <w:t>For each neighbour NR carrier/frequency band, it should be po</w:t>
      </w:r>
      <w:r>
        <w:rPr>
          <w:rStyle w:val="Strong"/>
          <w:rFonts w:eastAsia="宋体"/>
          <w:color w:val="000000"/>
          <w:szCs w:val="21"/>
          <w:shd w:val="clear" w:color="auto" w:fill="FFFFFF"/>
        </w:rPr>
        <w:t>ssible for</w:t>
      </w:r>
      <w:r w:rsidR="00955AC3">
        <w:rPr>
          <w:rStyle w:val="Strong"/>
          <w:rFonts w:eastAsia="宋体"/>
          <w:color w:val="000000"/>
          <w:szCs w:val="21"/>
          <w:shd w:val="clear" w:color="auto" w:fill="FFFFFF"/>
        </w:rPr>
        <w:t xml:space="preserve"> the NW to indicate whether NR CA or NR-</w:t>
      </w:r>
      <w:r>
        <w:rPr>
          <w:rStyle w:val="Strong"/>
          <w:rFonts w:eastAsia="宋体"/>
          <w:color w:val="000000"/>
          <w:szCs w:val="21"/>
          <w:shd w:val="clear" w:color="auto" w:fill="FFFFFF"/>
        </w:rPr>
        <w:t>DC with current serving cell is supported.</w:t>
      </w:r>
    </w:p>
    <w:p w:rsidR="00477CC1" w:rsidRDefault="00477CC1">
      <w:pPr>
        <w:rPr>
          <w:szCs w:val="21"/>
        </w:rPr>
      </w:pPr>
    </w:p>
    <w:p w:rsidR="00477CC1" w:rsidRDefault="00192F6F">
      <w:pPr>
        <w:rPr>
          <w:i/>
          <w:iCs/>
          <w:szCs w:val="21"/>
          <w:u w:val="single"/>
        </w:rPr>
      </w:pPr>
      <w:r>
        <w:rPr>
          <w:i/>
          <w:iCs/>
          <w:szCs w:val="21"/>
          <w:u w:val="single"/>
        </w:rPr>
        <w:t>PLMN specific early measurement configuration</w:t>
      </w:r>
    </w:p>
    <w:p w:rsidR="00477CC1" w:rsidRDefault="00192F6F">
      <w:pPr>
        <w:rPr>
          <w:szCs w:val="21"/>
        </w:rPr>
      </w:pPr>
      <w:r>
        <w:rPr>
          <w:szCs w:val="21"/>
        </w:rPr>
        <w:t>In RAN sharing deployment, different operators may have different frequency resources and different preference in CA</w:t>
      </w:r>
      <w:r>
        <w:rPr>
          <w:szCs w:val="21"/>
        </w:rPr>
        <w:t xml:space="preserve">/DC configuration </w:t>
      </w:r>
      <w:r>
        <w:rPr>
          <w:szCs w:val="21"/>
        </w:rPr>
        <w:t xml:space="preserve">for </w:t>
      </w:r>
      <w:r>
        <w:rPr>
          <w:szCs w:val="21"/>
        </w:rPr>
        <w:t xml:space="preserve">a specific frequency carrier. Thus </w:t>
      </w:r>
      <w:r>
        <w:rPr>
          <w:szCs w:val="21"/>
        </w:rPr>
        <w:t xml:space="preserve">it is necessary to </w:t>
      </w:r>
      <w:r>
        <w:rPr>
          <w:szCs w:val="21"/>
        </w:rPr>
        <w:t xml:space="preserve">support PLMN specific early measurement configuration. This </w:t>
      </w:r>
      <w:r>
        <w:rPr>
          <w:szCs w:val="21"/>
        </w:rPr>
        <w:t xml:space="preserve">can </w:t>
      </w:r>
      <w:r>
        <w:rPr>
          <w:szCs w:val="21"/>
        </w:rPr>
        <w:t>be implemented by including a</w:t>
      </w:r>
      <w:r>
        <w:rPr>
          <w:szCs w:val="21"/>
        </w:rPr>
        <w:t xml:space="preserve"> </w:t>
      </w:r>
      <w:r>
        <w:rPr>
          <w:szCs w:val="21"/>
        </w:rPr>
        <w:t xml:space="preserve">PLMN </w:t>
      </w:r>
      <w:r>
        <w:rPr>
          <w:szCs w:val="21"/>
        </w:rPr>
        <w:t xml:space="preserve">ID </w:t>
      </w:r>
      <w:r>
        <w:rPr>
          <w:szCs w:val="21"/>
        </w:rPr>
        <w:t xml:space="preserve">list for a specific carrier frequency. The </w:t>
      </w:r>
      <w:r>
        <w:rPr>
          <w:szCs w:val="21"/>
        </w:rPr>
        <w:t>UE performs</w:t>
      </w:r>
      <w:r>
        <w:rPr>
          <w:szCs w:val="21"/>
        </w:rPr>
        <w:t xml:space="preserve"> early measurement reporting </w:t>
      </w:r>
      <w:r>
        <w:rPr>
          <w:szCs w:val="21"/>
        </w:rPr>
        <w:t xml:space="preserve">according to its selected PLMN and the </w:t>
      </w:r>
      <w:r>
        <w:rPr>
          <w:szCs w:val="21"/>
        </w:rPr>
        <w:t xml:space="preserve">configured </w:t>
      </w:r>
      <w:r>
        <w:rPr>
          <w:szCs w:val="21"/>
        </w:rPr>
        <w:t xml:space="preserve">PLMN list of a specific </w:t>
      </w:r>
      <w:r>
        <w:rPr>
          <w:szCs w:val="21"/>
        </w:rPr>
        <w:lastRenderedPageBreak/>
        <w:t>carrier frequency.</w:t>
      </w:r>
    </w:p>
    <w:p w:rsidR="00477CC1" w:rsidRPr="00192F6F" w:rsidRDefault="00192F6F">
      <w:pPr>
        <w:rPr>
          <w:b/>
          <w:bCs/>
          <w:szCs w:val="21"/>
        </w:rPr>
      </w:pPr>
      <w:r>
        <w:rPr>
          <w:b/>
          <w:bCs/>
          <w:szCs w:val="21"/>
        </w:rPr>
        <w:t xml:space="preserve">Proposal </w:t>
      </w:r>
      <w:r>
        <w:rPr>
          <w:b/>
          <w:bCs/>
          <w:szCs w:val="21"/>
        </w:rPr>
        <w:t>9</w:t>
      </w:r>
      <w:r>
        <w:rPr>
          <w:b/>
          <w:bCs/>
          <w:szCs w:val="21"/>
        </w:rPr>
        <w:t>: PLMN specific early measurement configuration</w:t>
      </w:r>
      <w:r>
        <w:rPr>
          <w:b/>
          <w:bCs/>
          <w:szCs w:val="21"/>
        </w:rPr>
        <w:t xml:space="preserve"> should be supported.</w:t>
      </w:r>
    </w:p>
    <w:p w:rsidR="00477CC1" w:rsidRDefault="00192F6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rsidR="00477CC1" w:rsidRDefault="00192F6F">
      <w:pPr>
        <w:rPr>
          <w:b/>
          <w:bCs/>
          <w:szCs w:val="21"/>
        </w:rPr>
      </w:pPr>
      <w:r>
        <w:rPr>
          <w:b/>
          <w:bCs/>
          <w:szCs w:val="21"/>
        </w:rPr>
        <w:t>Prop</w:t>
      </w:r>
      <w:r>
        <w:rPr>
          <w:b/>
          <w:bCs/>
          <w:szCs w:val="21"/>
        </w:rPr>
        <w:t xml:space="preserve">osal 1: Similar to LTE </w:t>
      </w:r>
      <w:proofErr w:type="spellStart"/>
      <w:r>
        <w:rPr>
          <w:b/>
          <w:bCs/>
          <w:szCs w:val="21"/>
        </w:rPr>
        <w:t>euCA</w:t>
      </w:r>
      <w:proofErr w:type="spellEnd"/>
      <w:r>
        <w:rPr>
          <w:b/>
          <w:bCs/>
          <w:szCs w:val="21"/>
        </w:rPr>
        <w:t xml:space="preserve">, early measurement </w:t>
      </w:r>
      <w:r w:rsidR="002C1D85">
        <w:rPr>
          <w:b/>
          <w:bCs/>
          <w:szCs w:val="21"/>
        </w:rPr>
        <w:t xml:space="preserve">reporting </w:t>
      </w:r>
      <w:r>
        <w:rPr>
          <w:b/>
          <w:bCs/>
          <w:szCs w:val="21"/>
        </w:rPr>
        <w:t xml:space="preserve">should be supported </w:t>
      </w:r>
      <w:r>
        <w:rPr>
          <w:b/>
          <w:bCs/>
          <w:szCs w:val="21"/>
        </w:rPr>
        <w:t>to speed up configuration of</w:t>
      </w:r>
      <w:r>
        <w:rPr>
          <w:b/>
          <w:bCs/>
          <w:szCs w:val="21"/>
        </w:rPr>
        <w:t xml:space="preserve"> NR CA, NR-NR DC and MR-DC</w:t>
      </w:r>
      <w:r>
        <w:rPr>
          <w:b/>
          <w:bCs/>
          <w:szCs w:val="21"/>
        </w:rPr>
        <w:t xml:space="preserve"> when UE transits to RRC CONNECTED from RRC IDLR and RRC INACTIVE</w:t>
      </w:r>
      <w:r>
        <w:rPr>
          <w:b/>
          <w:bCs/>
          <w:szCs w:val="21"/>
        </w:rPr>
        <w:t>.</w:t>
      </w:r>
    </w:p>
    <w:p w:rsidR="00477CC1" w:rsidRDefault="00192F6F">
      <w:pPr>
        <w:rPr>
          <w:b/>
          <w:bCs/>
          <w:szCs w:val="21"/>
        </w:rPr>
      </w:pPr>
      <w:r>
        <w:rPr>
          <w:b/>
          <w:bCs/>
          <w:szCs w:val="21"/>
        </w:rPr>
        <w:t>Proposal 2: LTE euCA</w:t>
      </w:r>
      <w:r>
        <w:rPr>
          <w:b/>
          <w:bCs/>
          <w:szCs w:val="21"/>
        </w:rPr>
        <w:t xml:space="preserve"> idle measurement </w:t>
      </w:r>
      <w:r>
        <w:rPr>
          <w:b/>
          <w:bCs/>
          <w:szCs w:val="21"/>
        </w:rPr>
        <w:t>mechanism</w:t>
      </w:r>
      <w:r>
        <w:rPr>
          <w:b/>
          <w:bCs/>
          <w:szCs w:val="21"/>
        </w:rPr>
        <w:t xml:space="preserve">s, </w:t>
      </w:r>
      <w:r>
        <w:rPr>
          <w:b/>
          <w:bCs/>
          <w:szCs w:val="21"/>
        </w:rPr>
        <w:t>including validity</w:t>
      </w:r>
      <w:r>
        <w:rPr>
          <w:b/>
          <w:bCs/>
          <w:szCs w:val="21"/>
        </w:rPr>
        <w:t xml:space="preserve"> area, measure cell list and measure </w:t>
      </w:r>
      <w:r w:rsidR="001258B1">
        <w:rPr>
          <w:b/>
          <w:bCs/>
          <w:szCs w:val="21"/>
        </w:rPr>
        <w:t>duration</w:t>
      </w:r>
      <w:r>
        <w:rPr>
          <w:b/>
          <w:bCs/>
          <w:szCs w:val="21"/>
        </w:rPr>
        <w:t xml:space="preserve"> </w:t>
      </w:r>
      <w:r>
        <w:rPr>
          <w:rFonts w:hint="eastAsia"/>
          <w:b/>
          <w:bCs/>
          <w:szCs w:val="21"/>
        </w:rPr>
        <w:t>can be considered as baseline</w:t>
      </w:r>
      <w:r>
        <w:rPr>
          <w:b/>
          <w:bCs/>
          <w:szCs w:val="21"/>
        </w:rPr>
        <w:t xml:space="preserve"> in NR early measurement.</w:t>
      </w:r>
    </w:p>
    <w:p w:rsidR="00477CC1" w:rsidRDefault="00192F6F">
      <w:pPr>
        <w:rPr>
          <w:b/>
          <w:bCs/>
          <w:szCs w:val="21"/>
        </w:rPr>
      </w:pPr>
      <w:r>
        <w:rPr>
          <w:b/>
          <w:bCs/>
          <w:szCs w:val="21"/>
        </w:rPr>
        <w:t xml:space="preserve">Proposal 3: Both UE dedicated and cell common early measurement configuration should be supported in NR RRC. UE dedicated configuration is configured via </w:t>
      </w:r>
      <w:r>
        <w:rPr>
          <w:b/>
          <w:bCs/>
          <w:szCs w:val="21"/>
        </w:rPr>
        <w:t>RRC release message. Cell common configuration is contained in system information.</w:t>
      </w:r>
    </w:p>
    <w:p w:rsidR="00477CC1" w:rsidRDefault="00192F6F">
      <w:pPr>
        <w:rPr>
          <w:b/>
          <w:bCs/>
          <w:szCs w:val="21"/>
        </w:rPr>
      </w:pPr>
      <w:r>
        <w:rPr>
          <w:b/>
          <w:bCs/>
          <w:szCs w:val="21"/>
        </w:rPr>
        <w:t>Proposal 4: Both SSB based and CSI-RS resource based early measurement for NR carrier should be supported.</w:t>
      </w:r>
    </w:p>
    <w:p w:rsidR="00477CC1" w:rsidRDefault="00192F6F">
      <w:pPr>
        <w:rPr>
          <w:b/>
          <w:bCs/>
          <w:szCs w:val="21"/>
        </w:rPr>
      </w:pPr>
      <w:r>
        <w:rPr>
          <w:b/>
          <w:bCs/>
          <w:szCs w:val="21"/>
        </w:rPr>
        <w:t xml:space="preserve">Proposal 5: Take 3 step report </w:t>
      </w:r>
      <w:r>
        <w:rPr>
          <w:b/>
          <w:bCs/>
          <w:szCs w:val="21"/>
        </w:rPr>
        <w:t xml:space="preserve">approach </w:t>
      </w:r>
      <w:r>
        <w:rPr>
          <w:b/>
          <w:bCs/>
          <w:szCs w:val="21"/>
        </w:rPr>
        <w:t>in LTE euCA as the baselin</w:t>
      </w:r>
      <w:r>
        <w:rPr>
          <w:b/>
          <w:bCs/>
          <w:szCs w:val="21"/>
        </w:rPr>
        <w:t>e of early measurement report</w:t>
      </w:r>
      <w:r w:rsidR="00A62FFF">
        <w:rPr>
          <w:b/>
          <w:bCs/>
          <w:szCs w:val="21"/>
        </w:rPr>
        <w:t>ing</w:t>
      </w:r>
      <w:r>
        <w:rPr>
          <w:b/>
          <w:bCs/>
          <w:szCs w:val="21"/>
        </w:rPr>
        <w:t xml:space="preserve"> in NR.</w:t>
      </w:r>
    </w:p>
    <w:p w:rsidR="00477CC1" w:rsidRDefault="00192F6F">
      <w:pPr>
        <w:rPr>
          <w:b/>
          <w:bCs/>
          <w:szCs w:val="21"/>
        </w:rPr>
      </w:pPr>
      <w:r>
        <w:rPr>
          <w:b/>
          <w:bCs/>
          <w:szCs w:val="21"/>
        </w:rPr>
        <w:t xml:space="preserve">Proposal 6: For </w:t>
      </w:r>
      <w:r>
        <w:rPr>
          <w:b/>
          <w:bCs/>
          <w:szCs w:val="21"/>
        </w:rPr>
        <w:t xml:space="preserve">RRC </w:t>
      </w:r>
      <w:r>
        <w:rPr>
          <w:b/>
          <w:bCs/>
          <w:szCs w:val="21"/>
        </w:rPr>
        <w:t xml:space="preserve">resume procedure, measurement results is included in message 5. FFS whether message 3 can indicate </w:t>
      </w:r>
      <w:r>
        <w:rPr>
          <w:b/>
          <w:bCs/>
          <w:szCs w:val="21"/>
        </w:rPr>
        <w:t xml:space="preserve">the availability of </w:t>
      </w:r>
      <w:r>
        <w:rPr>
          <w:b/>
          <w:bCs/>
          <w:szCs w:val="21"/>
        </w:rPr>
        <w:t>valid measurement results.</w:t>
      </w:r>
    </w:p>
    <w:p w:rsidR="00477CC1" w:rsidRDefault="00192F6F">
      <w:pPr>
        <w:rPr>
          <w:b/>
          <w:bCs/>
          <w:szCs w:val="21"/>
        </w:rPr>
      </w:pPr>
      <w:r>
        <w:rPr>
          <w:b/>
          <w:bCs/>
          <w:szCs w:val="21"/>
        </w:rPr>
        <w:t xml:space="preserve">Proposal 7: For MR-DC configuration, both NR carrier </w:t>
      </w:r>
      <w:r>
        <w:rPr>
          <w:b/>
          <w:bCs/>
          <w:szCs w:val="21"/>
        </w:rPr>
        <w:t xml:space="preserve">frequency and E-UTRAN carrier frequency </w:t>
      </w:r>
      <w:r>
        <w:rPr>
          <w:rFonts w:hint="eastAsia"/>
          <w:b/>
          <w:bCs/>
          <w:szCs w:val="21"/>
        </w:rPr>
        <w:t>can be</w:t>
      </w:r>
      <w:r>
        <w:rPr>
          <w:b/>
          <w:bCs/>
          <w:szCs w:val="21"/>
        </w:rPr>
        <w:t xml:space="preserve"> configured in early measurement configuration.</w:t>
      </w:r>
    </w:p>
    <w:p w:rsidR="00477CC1" w:rsidRDefault="00192F6F">
      <w:pPr>
        <w:rPr>
          <w:b/>
          <w:bCs/>
          <w:szCs w:val="21"/>
        </w:rPr>
      </w:pPr>
      <w:r>
        <w:rPr>
          <w:rStyle w:val="Strong"/>
          <w:rFonts w:eastAsia="宋体"/>
          <w:color w:val="000000"/>
          <w:szCs w:val="21"/>
          <w:shd w:val="clear" w:color="auto" w:fill="FFFFFF"/>
        </w:rPr>
        <w:t>P</w:t>
      </w:r>
      <w:r>
        <w:rPr>
          <w:rStyle w:val="Strong"/>
          <w:rFonts w:eastAsia="宋体"/>
          <w:color w:val="000000"/>
          <w:szCs w:val="21"/>
          <w:shd w:val="clear" w:color="auto" w:fill="FFFFFF"/>
        </w:rPr>
        <w:t xml:space="preserve">roposal 8: </w:t>
      </w:r>
      <w:r>
        <w:rPr>
          <w:rStyle w:val="Strong"/>
          <w:rFonts w:eastAsia="宋体"/>
          <w:color w:val="000000"/>
          <w:szCs w:val="21"/>
          <w:shd w:val="clear" w:color="auto" w:fill="FFFFFF"/>
        </w:rPr>
        <w:t>For each neighbour NR carrier/frequency band, it should be possible for</w:t>
      </w:r>
      <w:r w:rsidR="00955AC3">
        <w:rPr>
          <w:rStyle w:val="Strong"/>
          <w:rFonts w:eastAsia="宋体"/>
          <w:color w:val="000000"/>
          <w:szCs w:val="21"/>
          <w:shd w:val="clear" w:color="auto" w:fill="FFFFFF"/>
        </w:rPr>
        <w:t xml:space="preserve"> the NW to indicate whether NR CA or NR-</w:t>
      </w:r>
      <w:r>
        <w:rPr>
          <w:rStyle w:val="Strong"/>
          <w:rFonts w:eastAsia="宋体"/>
          <w:color w:val="000000"/>
          <w:szCs w:val="21"/>
          <w:shd w:val="clear" w:color="auto" w:fill="FFFFFF"/>
        </w:rPr>
        <w:t xml:space="preserve">DC with current serving cell is </w:t>
      </w:r>
      <w:r>
        <w:rPr>
          <w:rStyle w:val="Strong"/>
          <w:rFonts w:eastAsia="宋体"/>
          <w:color w:val="000000"/>
          <w:szCs w:val="21"/>
          <w:shd w:val="clear" w:color="auto" w:fill="FFFFFF"/>
        </w:rPr>
        <w:t>supported</w:t>
      </w:r>
      <w:r>
        <w:rPr>
          <w:rStyle w:val="Strong"/>
          <w:rFonts w:eastAsia="宋体"/>
          <w:color w:val="000000"/>
          <w:szCs w:val="21"/>
          <w:shd w:val="clear" w:color="auto" w:fill="FFFFFF"/>
        </w:rPr>
        <w:t>.</w:t>
      </w:r>
    </w:p>
    <w:p w:rsidR="00477CC1" w:rsidRDefault="00192F6F">
      <w:pPr>
        <w:rPr>
          <w:b/>
          <w:bCs/>
          <w:szCs w:val="21"/>
        </w:rPr>
      </w:pPr>
      <w:r>
        <w:rPr>
          <w:b/>
          <w:bCs/>
          <w:szCs w:val="21"/>
        </w:rPr>
        <w:t xml:space="preserve">Proposal </w:t>
      </w:r>
      <w:r>
        <w:rPr>
          <w:b/>
          <w:bCs/>
          <w:szCs w:val="21"/>
        </w:rPr>
        <w:t>9</w:t>
      </w:r>
      <w:r>
        <w:rPr>
          <w:b/>
          <w:bCs/>
          <w:szCs w:val="21"/>
        </w:rPr>
        <w:t>: PLMN specific early measurement configuration</w:t>
      </w:r>
      <w:r>
        <w:rPr>
          <w:b/>
          <w:bCs/>
          <w:szCs w:val="21"/>
        </w:rPr>
        <w:t xml:space="preserve"> should be supported.</w:t>
      </w:r>
    </w:p>
    <w:p w:rsidR="00192F6F" w:rsidRDefault="00192F6F">
      <w:pPr>
        <w:rPr>
          <w:b/>
          <w:bCs/>
          <w:szCs w:val="21"/>
        </w:rPr>
      </w:pPr>
    </w:p>
    <w:p w:rsidR="00477CC1" w:rsidRDefault="00192F6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477CC1" w:rsidRDefault="00CC4132">
      <w:pPr>
        <w:pStyle w:val="ListParagraph1"/>
        <w:numPr>
          <w:ilvl w:val="0"/>
          <w:numId w:val="5"/>
        </w:numPr>
        <w:ind w:firstLineChars="0"/>
      </w:pPr>
      <w:r>
        <w:t>WI</w:t>
      </w:r>
    </w:p>
    <w:p w:rsidR="00477CC1" w:rsidRDefault="00192F6F">
      <w:pPr>
        <w:pStyle w:val="ListParagraph1"/>
        <w:numPr>
          <w:ilvl w:val="0"/>
          <w:numId w:val="5"/>
        </w:numPr>
        <w:ind w:firstLineChars="0"/>
      </w:pPr>
      <w:r>
        <w:t>R2-1707819</w:t>
      </w:r>
      <w:r>
        <w:t xml:space="preserve"> </w:t>
      </w:r>
      <w:r>
        <w:t>Analysis of SCell setup delay</w:t>
      </w:r>
      <w:r>
        <w:t xml:space="preserve">, </w:t>
      </w:r>
      <w:r>
        <w:t>Nokia, Nokia Shanghai Bell</w:t>
      </w:r>
    </w:p>
    <w:p w:rsidR="00477CC1" w:rsidRDefault="00192F6F">
      <w:pPr>
        <w:pStyle w:val="ListParagraph1"/>
        <w:numPr>
          <w:ilvl w:val="0"/>
          <w:numId w:val="5"/>
        </w:numPr>
        <w:ind w:firstLineChars="0"/>
      </w:pPr>
      <w:r>
        <w:t>R2-</w:t>
      </w:r>
      <w:r>
        <w:t>1711534</w:t>
      </w:r>
      <w:r>
        <w:t xml:space="preserve"> </w:t>
      </w:r>
      <w:r>
        <w:t>CA establishment from Idle and Suspended</w:t>
      </w:r>
      <w:r>
        <w:t xml:space="preserve">, </w:t>
      </w:r>
      <w:r>
        <w:t>Ericsson</w:t>
      </w:r>
    </w:p>
    <w:p w:rsidR="00477CC1" w:rsidRDefault="00192F6F">
      <w:pPr>
        <w:pStyle w:val="ListParagraph1"/>
        <w:numPr>
          <w:ilvl w:val="0"/>
          <w:numId w:val="5"/>
        </w:numPr>
        <w:ind w:firstLineChars="0"/>
      </w:pPr>
      <w:r>
        <w:t xml:space="preserve">TS 38.331, </w:t>
      </w:r>
      <w:r>
        <w:t>v15.4.0</w:t>
      </w:r>
    </w:p>
    <w:p w:rsidR="00477CC1" w:rsidRDefault="00192F6F">
      <w:pPr>
        <w:pStyle w:val="ListParagraph1"/>
        <w:numPr>
          <w:ilvl w:val="0"/>
          <w:numId w:val="5"/>
        </w:numPr>
        <w:ind w:firstLineChars="0"/>
      </w:pPr>
      <w:r>
        <w:t>TS 38.133, v15.4.0</w:t>
      </w:r>
    </w:p>
    <w:sectPr w:rsidR="00477CC1" w:rsidSect="00477CC1">
      <w:headerReference w:type="default" r:id="rId11"/>
      <w:footerReference w:type="even" r:id="rId12"/>
      <w:footerReference w:type="default" r:id="rId13"/>
      <w:pgSz w:w="11906" w:h="16838"/>
      <w:pgMar w:top="1440" w:right="975" w:bottom="208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CC1" w:rsidRDefault="00477CC1" w:rsidP="00477CC1">
      <w:pPr>
        <w:spacing w:after="0" w:line="240" w:lineRule="auto"/>
      </w:pPr>
      <w:r>
        <w:separator/>
      </w:r>
    </w:p>
  </w:endnote>
  <w:endnote w:type="continuationSeparator" w:id="0">
    <w:p w:rsidR="00477CC1" w:rsidRDefault="00477CC1" w:rsidP="00477C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default"/>
    <w:sig w:usb0="00000000" w:usb1="288F0000" w:usb2="0000000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CC1" w:rsidRDefault="00477CC1">
    <w:pPr>
      <w:pStyle w:val="Footer"/>
      <w:framePr w:wrap="around" w:vAnchor="text" w:hAnchor="margin" w:xAlign="right" w:y="1"/>
      <w:rPr>
        <w:rStyle w:val="PageNumber"/>
      </w:rPr>
    </w:pPr>
    <w:r>
      <w:rPr>
        <w:rStyle w:val="PageNumber"/>
      </w:rPr>
      <w:fldChar w:fldCharType="begin"/>
    </w:r>
    <w:r w:rsidR="00192F6F">
      <w:rPr>
        <w:rStyle w:val="PageNumber"/>
      </w:rPr>
      <w:instrText xml:space="preserve">PAGE  </w:instrText>
    </w:r>
    <w:r>
      <w:rPr>
        <w:rStyle w:val="PageNumber"/>
      </w:rPr>
      <w:fldChar w:fldCharType="end"/>
    </w:r>
  </w:p>
  <w:p w:rsidR="00477CC1" w:rsidRDefault="00477CC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CC1" w:rsidRDefault="00477CC1">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CC1" w:rsidRDefault="00477CC1" w:rsidP="00477CC1">
      <w:pPr>
        <w:spacing w:after="0" w:line="240" w:lineRule="auto"/>
      </w:pPr>
      <w:r>
        <w:separator/>
      </w:r>
    </w:p>
  </w:footnote>
  <w:footnote w:type="continuationSeparator" w:id="0">
    <w:p w:rsidR="00477CC1" w:rsidRDefault="00477CC1" w:rsidP="00477C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CC1" w:rsidRDefault="00477CC1">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7C8127F5"/>
    <w:multiLevelType w:val="multilevel"/>
    <w:tmpl w:val="7C81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420"/>
  <w:hyphenationZone w:val="283"/>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B6"/>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58B1"/>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2F6F"/>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55FA"/>
    <w:rsid w:val="002176DE"/>
    <w:rsid w:val="00223B64"/>
    <w:rsid w:val="002243A2"/>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1D85"/>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77CC1"/>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4502"/>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5AC3"/>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2FFF"/>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4132"/>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289F"/>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4809"/>
    <w:rsid w:val="00E853FB"/>
    <w:rsid w:val="00E85E3C"/>
    <w:rsid w:val="00E87D0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380404"/>
    <w:rsid w:val="014720D7"/>
    <w:rsid w:val="016429DB"/>
    <w:rsid w:val="01D10E16"/>
    <w:rsid w:val="01EA4673"/>
    <w:rsid w:val="02107794"/>
    <w:rsid w:val="024E797F"/>
    <w:rsid w:val="02550ACE"/>
    <w:rsid w:val="025B152B"/>
    <w:rsid w:val="02F818C1"/>
    <w:rsid w:val="0306294B"/>
    <w:rsid w:val="030856B5"/>
    <w:rsid w:val="03A04F12"/>
    <w:rsid w:val="03CD590F"/>
    <w:rsid w:val="04043AF0"/>
    <w:rsid w:val="044A4632"/>
    <w:rsid w:val="04BD0D3B"/>
    <w:rsid w:val="04E608F9"/>
    <w:rsid w:val="04F07ADF"/>
    <w:rsid w:val="057E44E3"/>
    <w:rsid w:val="058B0B55"/>
    <w:rsid w:val="05B61AC5"/>
    <w:rsid w:val="05CE1556"/>
    <w:rsid w:val="06015A3C"/>
    <w:rsid w:val="06110B74"/>
    <w:rsid w:val="067361BA"/>
    <w:rsid w:val="06824FEB"/>
    <w:rsid w:val="06D9595F"/>
    <w:rsid w:val="07283DE5"/>
    <w:rsid w:val="078E330A"/>
    <w:rsid w:val="07FF6BD0"/>
    <w:rsid w:val="082E44D1"/>
    <w:rsid w:val="08533175"/>
    <w:rsid w:val="08822ECE"/>
    <w:rsid w:val="08D17DCB"/>
    <w:rsid w:val="08DD3AA4"/>
    <w:rsid w:val="096E34B0"/>
    <w:rsid w:val="09953139"/>
    <w:rsid w:val="09AD25DC"/>
    <w:rsid w:val="09AF3626"/>
    <w:rsid w:val="09C02B44"/>
    <w:rsid w:val="09C635D4"/>
    <w:rsid w:val="09C85D67"/>
    <w:rsid w:val="09CF7D35"/>
    <w:rsid w:val="09D4401A"/>
    <w:rsid w:val="0A047B3E"/>
    <w:rsid w:val="0A376299"/>
    <w:rsid w:val="0A39193C"/>
    <w:rsid w:val="0AAD201C"/>
    <w:rsid w:val="0AC107AB"/>
    <w:rsid w:val="0AE2091B"/>
    <w:rsid w:val="0AFF138C"/>
    <w:rsid w:val="0B2D130D"/>
    <w:rsid w:val="0B885890"/>
    <w:rsid w:val="0B9161E5"/>
    <w:rsid w:val="0C78761E"/>
    <w:rsid w:val="0C7E74F0"/>
    <w:rsid w:val="0C8C6D73"/>
    <w:rsid w:val="0C98504D"/>
    <w:rsid w:val="0D225F51"/>
    <w:rsid w:val="0D9D48DB"/>
    <w:rsid w:val="0DA34B40"/>
    <w:rsid w:val="0DE35839"/>
    <w:rsid w:val="0E090268"/>
    <w:rsid w:val="0E3F3320"/>
    <w:rsid w:val="0E741C25"/>
    <w:rsid w:val="0E8D120F"/>
    <w:rsid w:val="0EBB1479"/>
    <w:rsid w:val="0ED45A6F"/>
    <w:rsid w:val="0EF22955"/>
    <w:rsid w:val="0EFA18F2"/>
    <w:rsid w:val="0F0F6F85"/>
    <w:rsid w:val="0F253EE5"/>
    <w:rsid w:val="0F466704"/>
    <w:rsid w:val="0F7962E8"/>
    <w:rsid w:val="0F924692"/>
    <w:rsid w:val="0FD76755"/>
    <w:rsid w:val="10146D39"/>
    <w:rsid w:val="1022572B"/>
    <w:rsid w:val="103A31BB"/>
    <w:rsid w:val="10771480"/>
    <w:rsid w:val="10810A46"/>
    <w:rsid w:val="10A4002B"/>
    <w:rsid w:val="10C0668A"/>
    <w:rsid w:val="11220330"/>
    <w:rsid w:val="11305185"/>
    <w:rsid w:val="11C63544"/>
    <w:rsid w:val="122E46A4"/>
    <w:rsid w:val="124A7AC8"/>
    <w:rsid w:val="12714363"/>
    <w:rsid w:val="127E23EF"/>
    <w:rsid w:val="12B8590F"/>
    <w:rsid w:val="12DE3A55"/>
    <w:rsid w:val="12E50DFA"/>
    <w:rsid w:val="1348230E"/>
    <w:rsid w:val="13A20F21"/>
    <w:rsid w:val="13A97E7F"/>
    <w:rsid w:val="13B323FC"/>
    <w:rsid w:val="13D41CF7"/>
    <w:rsid w:val="13F15A54"/>
    <w:rsid w:val="13FD5C8B"/>
    <w:rsid w:val="14050187"/>
    <w:rsid w:val="140C033D"/>
    <w:rsid w:val="14126B5B"/>
    <w:rsid w:val="142B7F16"/>
    <w:rsid w:val="14491980"/>
    <w:rsid w:val="14816866"/>
    <w:rsid w:val="148B7313"/>
    <w:rsid w:val="148C25FE"/>
    <w:rsid w:val="1499714E"/>
    <w:rsid w:val="14CE03FD"/>
    <w:rsid w:val="14E54C4A"/>
    <w:rsid w:val="15121CE7"/>
    <w:rsid w:val="153C3427"/>
    <w:rsid w:val="15757C7F"/>
    <w:rsid w:val="157D6C4E"/>
    <w:rsid w:val="158E5AEA"/>
    <w:rsid w:val="15E07012"/>
    <w:rsid w:val="15F14DEF"/>
    <w:rsid w:val="16083949"/>
    <w:rsid w:val="16264105"/>
    <w:rsid w:val="163C5D48"/>
    <w:rsid w:val="164E163A"/>
    <w:rsid w:val="165322A4"/>
    <w:rsid w:val="165E61EB"/>
    <w:rsid w:val="16855594"/>
    <w:rsid w:val="168C00F5"/>
    <w:rsid w:val="16B310D0"/>
    <w:rsid w:val="16C554F1"/>
    <w:rsid w:val="17036CE0"/>
    <w:rsid w:val="17BB63C6"/>
    <w:rsid w:val="17BF5676"/>
    <w:rsid w:val="17D947ED"/>
    <w:rsid w:val="17E356DA"/>
    <w:rsid w:val="17FB73DA"/>
    <w:rsid w:val="18143E48"/>
    <w:rsid w:val="182378A1"/>
    <w:rsid w:val="183160A6"/>
    <w:rsid w:val="18320839"/>
    <w:rsid w:val="184B6B17"/>
    <w:rsid w:val="18B34B1D"/>
    <w:rsid w:val="18BB4D51"/>
    <w:rsid w:val="18F4078B"/>
    <w:rsid w:val="194D319A"/>
    <w:rsid w:val="194D33E6"/>
    <w:rsid w:val="19775FAF"/>
    <w:rsid w:val="199A798E"/>
    <w:rsid w:val="19A044BC"/>
    <w:rsid w:val="19B91B04"/>
    <w:rsid w:val="1A50145F"/>
    <w:rsid w:val="1A643357"/>
    <w:rsid w:val="1A690678"/>
    <w:rsid w:val="1B0F4977"/>
    <w:rsid w:val="1B4C6BD3"/>
    <w:rsid w:val="1BC45BEE"/>
    <w:rsid w:val="1BEB4B53"/>
    <w:rsid w:val="1C316406"/>
    <w:rsid w:val="1C3215DD"/>
    <w:rsid w:val="1CC05A03"/>
    <w:rsid w:val="1CEA0B9B"/>
    <w:rsid w:val="1D132C89"/>
    <w:rsid w:val="1D3F5138"/>
    <w:rsid w:val="1D43286A"/>
    <w:rsid w:val="1D837934"/>
    <w:rsid w:val="1DCF713F"/>
    <w:rsid w:val="1DD64509"/>
    <w:rsid w:val="1DE05EB7"/>
    <w:rsid w:val="1DE5578F"/>
    <w:rsid w:val="1E384F8E"/>
    <w:rsid w:val="1E4C7D30"/>
    <w:rsid w:val="1E7D38DE"/>
    <w:rsid w:val="1EBF3882"/>
    <w:rsid w:val="1F1507AF"/>
    <w:rsid w:val="1F2C1B1A"/>
    <w:rsid w:val="1F5F7CC1"/>
    <w:rsid w:val="1F673EE3"/>
    <w:rsid w:val="1FD37762"/>
    <w:rsid w:val="1FEB7356"/>
    <w:rsid w:val="20572AFF"/>
    <w:rsid w:val="2083155B"/>
    <w:rsid w:val="209A1225"/>
    <w:rsid w:val="21280F6B"/>
    <w:rsid w:val="212A36C8"/>
    <w:rsid w:val="2130301A"/>
    <w:rsid w:val="21432A77"/>
    <w:rsid w:val="217A5ABE"/>
    <w:rsid w:val="21DE0377"/>
    <w:rsid w:val="21EF5C11"/>
    <w:rsid w:val="220157DA"/>
    <w:rsid w:val="22174B18"/>
    <w:rsid w:val="22517F0E"/>
    <w:rsid w:val="22E53CFD"/>
    <w:rsid w:val="22E97CB3"/>
    <w:rsid w:val="22F83315"/>
    <w:rsid w:val="230C273D"/>
    <w:rsid w:val="233C4B1C"/>
    <w:rsid w:val="2362243E"/>
    <w:rsid w:val="23BA05F7"/>
    <w:rsid w:val="23BA34CA"/>
    <w:rsid w:val="23BC4F39"/>
    <w:rsid w:val="23DF13DF"/>
    <w:rsid w:val="240F60DE"/>
    <w:rsid w:val="243B46E9"/>
    <w:rsid w:val="24445E0D"/>
    <w:rsid w:val="246452B0"/>
    <w:rsid w:val="247300E2"/>
    <w:rsid w:val="24B505FC"/>
    <w:rsid w:val="24DA4B7A"/>
    <w:rsid w:val="25310035"/>
    <w:rsid w:val="25385D54"/>
    <w:rsid w:val="253B3588"/>
    <w:rsid w:val="257D0AB2"/>
    <w:rsid w:val="25805509"/>
    <w:rsid w:val="259E552F"/>
    <w:rsid w:val="25D216E5"/>
    <w:rsid w:val="263A5013"/>
    <w:rsid w:val="263B066E"/>
    <w:rsid w:val="263D3F60"/>
    <w:rsid w:val="26421856"/>
    <w:rsid w:val="264F6681"/>
    <w:rsid w:val="265B78B8"/>
    <w:rsid w:val="26677914"/>
    <w:rsid w:val="26686626"/>
    <w:rsid w:val="267E3E85"/>
    <w:rsid w:val="268255B5"/>
    <w:rsid w:val="26A8187E"/>
    <w:rsid w:val="26AC64C2"/>
    <w:rsid w:val="26E756B5"/>
    <w:rsid w:val="27384934"/>
    <w:rsid w:val="276224B4"/>
    <w:rsid w:val="27843570"/>
    <w:rsid w:val="278E11AF"/>
    <w:rsid w:val="279948D8"/>
    <w:rsid w:val="27B37802"/>
    <w:rsid w:val="27E54321"/>
    <w:rsid w:val="28096E54"/>
    <w:rsid w:val="282C6EF7"/>
    <w:rsid w:val="28476ABB"/>
    <w:rsid w:val="285B6C9C"/>
    <w:rsid w:val="288B6CF1"/>
    <w:rsid w:val="28C030A8"/>
    <w:rsid w:val="28E61190"/>
    <w:rsid w:val="28F84057"/>
    <w:rsid w:val="28FB51D5"/>
    <w:rsid w:val="2996198C"/>
    <w:rsid w:val="29D26A74"/>
    <w:rsid w:val="29DC1BDB"/>
    <w:rsid w:val="2A011E15"/>
    <w:rsid w:val="2A11602C"/>
    <w:rsid w:val="2A1C47DF"/>
    <w:rsid w:val="2A212850"/>
    <w:rsid w:val="2A405FA8"/>
    <w:rsid w:val="2A650986"/>
    <w:rsid w:val="2ABC778F"/>
    <w:rsid w:val="2ACA3407"/>
    <w:rsid w:val="2AD22E2C"/>
    <w:rsid w:val="2B762F4B"/>
    <w:rsid w:val="2B7A16F9"/>
    <w:rsid w:val="2B80231C"/>
    <w:rsid w:val="2B836B79"/>
    <w:rsid w:val="2BAB6119"/>
    <w:rsid w:val="2BF10A29"/>
    <w:rsid w:val="2C166738"/>
    <w:rsid w:val="2C3A05CF"/>
    <w:rsid w:val="2C605D57"/>
    <w:rsid w:val="2C89295F"/>
    <w:rsid w:val="2CAB1132"/>
    <w:rsid w:val="2CAE0F8F"/>
    <w:rsid w:val="2D261309"/>
    <w:rsid w:val="2D2B1431"/>
    <w:rsid w:val="2D3C73A5"/>
    <w:rsid w:val="2D7A712B"/>
    <w:rsid w:val="2D7F6F21"/>
    <w:rsid w:val="2E1C3B55"/>
    <w:rsid w:val="2E244B92"/>
    <w:rsid w:val="2E301A69"/>
    <w:rsid w:val="2E647745"/>
    <w:rsid w:val="2ED11E06"/>
    <w:rsid w:val="2ED13AE9"/>
    <w:rsid w:val="2EDF365D"/>
    <w:rsid w:val="2F2C726E"/>
    <w:rsid w:val="2F4B30E7"/>
    <w:rsid w:val="2F536A09"/>
    <w:rsid w:val="2F6E5178"/>
    <w:rsid w:val="2FA03052"/>
    <w:rsid w:val="2FAB4398"/>
    <w:rsid w:val="2FEB469E"/>
    <w:rsid w:val="306326A1"/>
    <w:rsid w:val="30796128"/>
    <w:rsid w:val="308B2230"/>
    <w:rsid w:val="309A69AA"/>
    <w:rsid w:val="30A26815"/>
    <w:rsid w:val="30A73838"/>
    <w:rsid w:val="30BD0BCE"/>
    <w:rsid w:val="30CF4562"/>
    <w:rsid w:val="30EA7A7A"/>
    <w:rsid w:val="30F913DF"/>
    <w:rsid w:val="31160E7F"/>
    <w:rsid w:val="311624C1"/>
    <w:rsid w:val="31165308"/>
    <w:rsid w:val="31785ADD"/>
    <w:rsid w:val="31E155A2"/>
    <w:rsid w:val="31FD236D"/>
    <w:rsid w:val="320D7653"/>
    <w:rsid w:val="32167BBB"/>
    <w:rsid w:val="32B9185B"/>
    <w:rsid w:val="32C03874"/>
    <w:rsid w:val="332253D2"/>
    <w:rsid w:val="337A4A67"/>
    <w:rsid w:val="340659C1"/>
    <w:rsid w:val="342E5A41"/>
    <w:rsid w:val="34691D0C"/>
    <w:rsid w:val="350D0C3D"/>
    <w:rsid w:val="353D3231"/>
    <w:rsid w:val="356248FB"/>
    <w:rsid w:val="35690796"/>
    <w:rsid w:val="36BC3900"/>
    <w:rsid w:val="371234AC"/>
    <w:rsid w:val="37241DA0"/>
    <w:rsid w:val="374F15F8"/>
    <w:rsid w:val="375678E1"/>
    <w:rsid w:val="37AA6282"/>
    <w:rsid w:val="37F046AF"/>
    <w:rsid w:val="382F3E55"/>
    <w:rsid w:val="384F0E62"/>
    <w:rsid w:val="385174E5"/>
    <w:rsid w:val="38591C77"/>
    <w:rsid w:val="386B5D1F"/>
    <w:rsid w:val="38A5432F"/>
    <w:rsid w:val="38B3345E"/>
    <w:rsid w:val="38D019A4"/>
    <w:rsid w:val="38DE78EC"/>
    <w:rsid w:val="38F210CC"/>
    <w:rsid w:val="38FE59EF"/>
    <w:rsid w:val="392D4E34"/>
    <w:rsid w:val="394617C2"/>
    <w:rsid w:val="395C264D"/>
    <w:rsid w:val="39794E35"/>
    <w:rsid w:val="397A1735"/>
    <w:rsid w:val="397F5DBA"/>
    <w:rsid w:val="39A53ECA"/>
    <w:rsid w:val="39BE20EC"/>
    <w:rsid w:val="3A051944"/>
    <w:rsid w:val="3A164C99"/>
    <w:rsid w:val="3A1A7A23"/>
    <w:rsid w:val="3A224DD3"/>
    <w:rsid w:val="3A4211CB"/>
    <w:rsid w:val="3A5C05E2"/>
    <w:rsid w:val="3A8D6FFE"/>
    <w:rsid w:val="3AB5664B"/>
    <w:rsid w:val="3B2834F7"/>
    <w:rsid w:val="3B7544BA"/>
    <w:rsid w:val="3B996C7A"/>
    <w:rsid w:val="3BA22A5B"/>
    <w:rsid w:val="3BD27691"/>
    <w:rsid w:val="3C06086D"/>
    <w:rsid w:val="3C0F02A4"/>
    <w:rsid w:val="3C355916"/>
    <w:rsid w:val="3CA37F62"/>
    <w:rsid w:val="3CB31CB8"/>
    <w:rsid w:val="3CC92302"/>
    <w:rsid w:val="3D2110F1"/>
    <w:rsid w:val="3D356DE3"/>
    <w:rsid w:val="3D4D77A0"/>
    <w:rsid w:val="3D69134E"/>
    <w:rsid w:val="3D796C9E"/>
    <w:rsid w:val="3DA019FE"/>
    <w:rsid w:val="3DF079B9"/>
    <w:rsid w:val="3E096D1E"/>
    <w:rsid w:val="3E3728AA"/>
    <w:rsid w:val="3E3A6D43"/>
    <w:rsid w:val="3E3D6019"/>
    <w:rsid w:val="3E3F119F"/>
    <w:rsid w:val="3E442503"/>
    <w:rsid w:val="3E4923CA"/>
    <w:rsid w:val="3E551345"/>
    <w:rsid w:val="3E767C7A"/>
    <w:rsid w:val="3E7A5493"/>
    <w:rsid w:val="3EA4797A"/>
    <w:rsid w:val="3F1F4419"/>
    <w:rsid w:val="3F334ADA"/>
    <w:rsid w:val="3F680422"/>
    <w:rsid w:val="3F821A48"/>
    <w:rsid w:val="3F962587"/>
    <w:rsid w:val="3FC53100"/>
    <w:rsid w:val="3FEE48C6"/>
    <w:rsid w:val="3FF820F3"/>
    <w:rsid w:val="40582D76"/>
    <w:rsid w:val="4064551B"/>
    <w:rsid w:val="407E552A"/>
    <w:rsid w:val="40E07C0F"/>
    <w:rsid w:val="414004A4"/>
    <w:rsid w:val="416042BB"/>
    <w:rsid w:val="41696E1F"/>
    <w:rsid w:val="41723D7C"/>
    <w:rsid w:val="418D4946"/>
    <w:rsid w:val="42021AEF"/>
    <w:rsid w:val="42150BBA"/>
    <w:rsid w:val="42554D1D"/>
    <w:rsid w:val="42685541"/>
    <w:rsid w:val="428B2F7E"/>
    <w:rsid w:val="42AB42BF"/>
    <w:rsid w:val="42D85DB7"/>
    <w:rsid w:val="42E354EC"/>
    <w:rsid w:val="42E832DE"/>
    <w:rsid w:val="42FB7E7F"/>
    <w:rsid w:val="430C1D48"/>
    <w:rsid w:val="431E6AF3"/>
    <w:rsid w:val="43524555"/>
    <w:rsid w:val="43922D92"/>
    <w:rsid w:val="442723BC"/>
    <w:rsid w:val="4432125A"/>
    <w:rsid w:val="44511364"/>
    <w:rsid w:val="44762A61"/>
    <w:rsid w:val="44960266"/>
    <w:rsid w:val="44B66E8A"/>
    <w:rsid w:val="44C11BD7"/>
    <w:rsid w:val="44C70D28"/>
    <w:rsid w:val="44E3053F"/>
    <w:rsid w:val="45694F1A"/>
    <w:rsid w:val="458E6E21"/>
    <w:rsid w:val="45B02047"/>
    <w:rsid w:val="45CA2B79"/>
    <w:rsid w:val="461D4BCF"/>
    <w:rsid w:val="46262D84"/>
    <w:rsid w:val="4631154C"/>
    <w:rsid w:val="465B524A"/>
    <w:rsid w:val="466B51E7"/>
    <w:rsid w:val="466F234F"/>
    <w:rsid w:val="467A6E56"/>
    <w:rsid w:val="469626CC"/>
    <w:rsid w:val="46CA3D8F"/>
    <w:rsid w:val="46F90EF0"/>
    <w:rsid w:val="474661FE"/>
    <w:rsid w:val="475705C8"/>
    <w:rsid w:val="475E2CBA"/>
    <w:rsid w:val="478140BA"/>
    <w:rsid w:val="47B05089"/>
    <w:rsid w:val="47CF5E61"/>
    <w:rsid w:val="48125321"/>
    <w:rsid w:val="484736E0"/>
    <w:rsid w:val="48705D8B"/>
    <w:rsid w:val="48AE7199"/>
    <w:rsid w:val="48D47BC2"/>
    <w:rsid w:val="48EA76B0"/>
    <w:rsid w:val="49436329"/>
    <w:rsid w:val="494E17F4"/>
    <w:rsid w:val="497C5E18"/>
    <w:rsid w:val="49815A51"/>
    <w:rsid w:val="49862C60"/>
    <w:rsid w:val="498F031D"/>
    <w:rsid w:val="499978B3"/>
    <w:rsid w:val="49B43FF2"/>
    <w:rsid w:val="49BE2DCD"/>
    <w:rsid w:val="49D41C4F"/>
    <w:rsid w:val="49E37D4C"/>
    <w:rsid w:val="49E60A50"/>
    <w:rsid w:val="49ED54E3"/>
    <w:rsid w:val="49FC65A5"/>
    <w:rsid w:val="4A0133A8"/>
    <w:rsid w:val="4A8C270D"/>
    <w:rsid w:val="4AA71A88"/>
    <w:rsid w:val="4AF0638F"/>
    <w:rsid w:val="4AFC16B3"/>
    <w:rsid w:val="4B25424E"/>
    <w:rsid w:val="4B722FF2"/>
    <w:rsid w:val="4BB059A0"/>
    <w:rsid w:val="4BB5717A"/>
    <w:rsid w:val="4BC402A7"/>
    <w:rsid w:val="4BF50EA7"/>
    <w:rsid w:val="4C030FCF"/>
    <w:rsid w:val="4C4A4856"/>
    <w:rsid w:val="4C5C7E48"/>
    <w:rsid w:val="4C735236"/>
    <w:rsid w:val="4C8F0DE9"/>
    <w:rsid w:val="4CBD796F"/>
    <w:rsid w:val="4CD859E2"/>
    <w:rsid w:val="4D00374B"/>
    <w:rsid w:val="4D2C0F5D"/>
    <w:rsid w:val="4D41297D"/>
    <w:rsid w:val="4D5071D3"/>
    <w:rsid w:val="4D5901E2"/>
    <w:rsid w:val="4D8D76CF"/>
    <w:rsid w:val="4D9952C2"/>
    <w:rsid w:val="4DA2126A"/>
    <w:rsid w:val="4DB53485"/>
    <w:rsid w:val="4DD55A3D"/>
    <w:rsid w:val="4E0849B8"/>
    <w:rsid w:val="4E304569"/>
    <w:rsid w:val="4E7B669D"/>
    <w:rsid w:val="4E8805E2"/>
    <w:rsid w:val="4ED103BA"/>
    <w:rsid w:val="4EEB5D5A"/>
    <w:rsid w:val="4F8D18A5"/>
    <w:rsid w:val="4F93218E"/>
    <w:rsid w:val="501F5F82"/>
    <w:rsid w:val="504D1837"/>
    <w:rsid w:val="505E18F4"/>
    <w:rsid w:val="50923C93"/>
    <w:rsid w:val="50BB2C80"/>
    <w:rsid w:val="50E35899"/>
    <w:rsid w:val="51275108"/>
    <w:rsid w:val="5165503A"/>
    <w:rsid w:val="51B43DD3"/>
    <w:rsid w:val="51D242ED"/>
    <w:rsid w:val="522F0757"/>
    <w:rsid w:val="528564ED"/>
    <w:rsid w:val="528D0D84"/>
    <w:rsid w:val="529B6CC3"/>
    <w:rsid w:val="52D60F11"/>
    <w:rsid w:val="52F70701"/>
    <w:rsid w:val="52FD3798"/>
    <w:rsid w:val="530A03E2"/>
    <w:rsid w:val="533656B4"/>
    <w:rsid w:val="533A72D2"/>
    <w:rsid w:val="53A45569"/>
    <w:rsid w:val="53B375E7"/>
    <w:rsid w:val="53B77D76"/>
    <w:rsid w:val="53DB0FFF"/>
    <w:rsid w:val="53F114BC"/>
    <w:rsid w:val="54005176"/>
    <w:rsid w:val="54174C88"/>
    <w:rsid w:val="544A7F72"/>
    <w:rsid w:val="546623DE"/>
    <w:rsid w:val="548A534D"/>
    <w:rsid w:val="548C570A"/>
    <w:rsid w:val="552D4396"/>
    <w:rsid w:val="553637B1"/>
    <w:rsid w:val="554B32C0"/>
    <w:rsid w:val="557F3544"/>
    <w:rsid w:val="559668DC"/>
    <w:rsid w:val="55A450D5"/>
    <w:rsid w:val="55B9733C"/>
    <w:rsid w:val="561511E6"/>
    <w:rsid w:val="56396761"/>
    <w:rsid w:val="563D31D5"/>
    <w:rsid w:val="567E1876"/>
    <w:rsid w:val="56B9541F"/>
    <w:rsid w:val="56F21F9C"/>
    <w:rsid w:val="573645D7"/>
    <w:rsid w:val="57661B56"/>
    <w:rsid w:val="57785731"/>
    <w:rsid w:val="57813D40"/>
    <w:rsid w:val="578E4FB0"/>
    <w:rsid w:val="57BE26AF"/>
    <w:rsid w:val="57D15132"/>
    <w:rsid w:val="586E01B4"/>
    <w:rsid w:val="58E5795A"/>
    <w:rsid w:val="599A7B0A"/>
    <w:rsid w:val="59A85A7E"/>
    <w:rsid w:val="59AA3BD4"/>
    <w:rsid w:val="59B755D4"/>
    <w:rsid w:val="59EB5ADD"/>
    <w:rsid w:val="59F77F45"/>
    <w:rsid w:val="5A045F5C"/>
    <w:rsid w:val="5A1328D5"/>
    <w:rsid w:val="5A141E5B"/>
    <w:rsid w:val="5A414940"/>
    <w:rsid w:val="5A7B0D86"/>
    <w:rsid w:val="5AE57388"/>
    <w:rsid w:val="5B0071ED"/>
    <w:rsid w:val="5B0A7340"/>
    <w:rsid w:val="5B6834E5"/>
    <w:rsid w:val="5B7454F8"/>
    <w:rsid w:val="5B784A97"/>
    <w:rsid w:val="5B7A2602"/>
    <w:rsid w:val="5B8D23C3"/>
    <w:rsid w:val="5B8F3986"/>
    <w:rsid w:val="5BA07A57"/>
    <w:rsid w:val="5BC35070"/>
    <w:rsid w:val="5BD33963"/>
    <w:rsid w:val="5C492DDE"/>
    <w:rsid w:val="5C5960FA"/>
    <w:rsid w:val="5C7976E7"/>
    <w:rsid w:val="5CDF4ED0"/>
    <w:rsid w:val="5D1253A4"/>
    <w:rsid w:val="5D2E0784"/>
    <w:rsid w:val="5D421DC8"/>
    <w:rsid w:val="5D6D3706"/>
    <w:rsid w:val="5D7415AC"/>
    <w:rsid w:val="5D7D6D2A"/>
    <w:rsid w:val="5DC03C97"/>
    <w:rsid w:val="5DD7525E"/>
    <w:rsid w:val="5E051A40"/>
    <w:rsid w:val="5E0E0783"/>
    <w:rsid w:val="5E0F6CCA"/>
    <w:rsid w:val="5E5F0582"/>
    <w:rsid w:val="5E6B178A"/>
    <w:rsid w:val="5E7722A1"/>
    <w:rsid w:val="5EBD226B"/>
    <w:rsid w:val="5EC327AB"/>
    <w:rsid w:val="5F217812"/>
    <w:rsid w:val="5F89637E"/>
    <w:rsid w:val="5FA136CD"/>
    <w:rsid w:val="5FBA49D4"/>
    <w:rsid w:val="5FC16C8E"/>
    <w:rsid w:val="601D1F8F"/>
    <w:rsid w:val="602E7E5B"/>
    <w:rsid w:val="6031791B"/>
    <w:rsid w:val="60933164"/>
    <w:rsid w:val="60D42F2C"/>
    <w:rsid w:val="61367A4A"/>
    <w:rsid w:val="618101E3"/>
    <w:rsid w:val="61B81B60"/>
    <w:rsid w:val="61F40326"/>
    <w:rsid w:val="6223625E"/>
    <w:rsid w:val="626242AF"/>
    <w:rsid w:val="627073DF"/>
    <w:rsid w:val="62D83687"/>
    <w:rsid w:val="62EA38CD"/>
    <w:rsid w:val="63063093"/>
    <w:rsid w:val="633046DB"/>
    <w:rsid w:val="635E63B1"/>
    <w:rsid w:val="63916850"/>
    <w:rsid w:val="639A4E48"/>
    <w:rsid w:val="63AB111F"/>
    <w:rsid w:val="63EB40F2"/>
    <w:rsid w:val="644E3BF2"/>
    <w:rsid w:val="64565585"/>
    <w:rsid w:val="645A2DCE"/>
    <w:rsid w:val="646B2DA9"/>
    <w:rsid w:val="64D82C05"/>
    <w:rsid w:val="64F774CD"/>
    <w:rsid w:val="655A1669"/>
    <w:rsid w:val="6560136A"/>
    <w:rsid w:val="65664C5A"/>
    <w:rsid w:val="65DB0F20"/>
    <w:rsid w:val="65E67B9A"/>
    <w:rsid w:val="65FF2DAC"/>
    <w:rsid w:val="66355A97"/>
    <w:rsid w:val="6648413E"/>
    <w:rsid w:val="665E5500"/>
    <w:rsid w:val="66F43D4A"/>
    <w:rsid w:val="673B5505"/>
    <w:rsid w:val="676C4FC5"/>
    <w:rsid w:val="677A19D6"/>
    <w:rsid w:val="679B75D8"/>
    <w:rsid w:val="67C01E36"/>
    <w:rsid w:val="67C803A8"/>
    <w:rsid w:val="67DE04F8"/>
    <w:rsid w:val="67F4640E"/>
    <w:rsid w:val="67F46E9F"/>
    <w:rsid w:val="684319FE"/>
    <w:rsid w:val="686C5A72"/>
    <w:rsid w:val="68A57C57"/>
    <w:rsid w:val="68AC7696"/>
    <w:rsid w:val="68CC3D9E"/>
    <w:rsid w:val="68F2196E"/>
    <w:rsid w:val="68F95385"/>
    <w:rsid w:val="69092152"/>
    <w:rsid w:val="69120C4E"/>
    <w:rsid w:val="691C17CD"/>
    <w:rsid w:val="69231B0C"/>
    <w:rsid w:val="69797C2C"/>
    <w:rsid w:val="69E505FB"/>
    <w:rsid w:val="6A151613"/>
    <w:rsid w:val="6AAB1FFE"/>
    <w:rsid w:val="6B047C64"/>
    <w:rsid w:val="6B337C49"/>
    <w:rsid w:val="6B53760B"/>
    <w:rsid w:val="6B657CB8"/>
    <w:rsid w:val="6B772420"/>
    <w:rsid w:val="6BFC5A9A"/>
    <w:rsid w:val="6C001B2C"/>
    <w:rsid w:val="6C1A2C14"/>
    <w:rsid w:val="6C210515"/>
    <w:rsid w:val="6C4920B2"/>
    <w:rsid w:val="6C72269C"/>
    <w:rsid w:val="6C9F2E19"/>
    <w:rsid w:val="6CF73DD1"/>
    <w:rsid w:val="6CFC2A23"/>
    <w:rsid w:val="6D304E75"/>
    <w:rsid w:val="6D3B1836"/>
    <w:rsid w:val="6D3F18FA"/>
    <w:rsid w:val="6D504B6C"/>
    <w:rsid w:val="6D506C3D"/>
    <w:rsid w:val="6D5348B8"/>
    <w:rsid w:val="6D6D23E0"/>
    <w:rsid w:val="6DE57BBE"/>
    <w:rsid w:val="6DE91AC4"/>
    <w:rsid w:val="6DFF137D"/>
    <w:rsid w:val="6E2C0D10"/>
    <w:rsid w:val="6E354B30"/>
    <w:rsid w:val="6E5137C9"/>
    <w:rsid w:val="6E76413D"/>
    <w:rsid w:val="6E812F68"/>
    <w:rsid w:val="6E8135FF"/>
    <w:rsid w:val="6E8B6899"/>
    <w:rsid w:val="6F6716D3"/>
    <w:rsid w:val="6F7C3F56"/>
    <w:rsid w:val="6FF33BC0"/>
    <w:rsid w:val="6FFF274E"/>
    <w:rsid w:val="700249D6"/>
    <w:rsid w:val="70232BE2"/>
    <w:rsid w:val="702860E7"/>
    <w:rsid w:val="70372650"/>
    <w:rsid w:val="70414EEF"/>
    <w:rsid w:val="705A1486"/>
    <w:rsid w:val="70B37ABB"/>
    <w:rsid w:val="716D04E4"/>
    <w:rsid w:val="71A7421A"/>
    <w:rsid w:val="72110AF2"/>
    <w:rsid w:val="72552DBD"/>
    <w:rsid w:val="72A215A0"/>
    <w:rsid w:val="72B130F2"/>
    <w:rsid w:val="72F31532"/>
    <w:rsid w:val="7336321E"/>
    <w:rsid w:val="73B20AA4"/>
    <w:rsid w:val="73B464B8"/>
    <w:rsid w:val="73D42C49"/>
    <w:rsid w:val="73D858E3"/>
    <w:rsid w:val="73E37406"/>
    <w:rsid w:val="73FE55A5"/>
    <w:rsid w:val="74265823"/>
    <w:rsid w:val="745851F8"/>
    <w:rsid w:val="745D0A4B"/>
    <w:rsid w:val="746C57AC"/>
    <w:rsid w:val="74E2227D"/>
    <w:rsid w:val="751E6081"/>
    <w:rsid w:val="756B2C4C"/>
    <w:rsid w:val="75B675BF"/>
    <w:rsid w:val="75D27928"/>
    <w:rsid w:val="75F51208"/>
    <w:rsid w:val="760152A1"/>
    <w:rsid w:val="76536B52"/>
    <w:rsid w:val="765A11E5"/>
    <w:rsid w:val="76A41437"/>
    <w:rsid w:val="76C8106A"/>
    <w:rsid w:val="76D44188"/>
    <w:rsid w:val="774C2FD4"/>
    <w:rsid w:val="77920CAC"/>
    <w:rsid w:val="779608B1"/>
    <w:rsid w:val="77BB317F"/>
    <w:rsid w:val="77D646B3"/>
    <w:rsid w:val="781C4EEF"/>
    <w:rsid w:val="781C6C86"/>
    <w:rsid w:val="783E1BE4"/>
    <w:rsid w:val="78862AA4"/>
    <w:rsid w:val="788E6731"/>
    <w:rsid w:val="789E65DE"/>
    <w:rsid w:val="78AE643A"/>
    <w:rsid w:val="791430B9"/>
    <w:rsid w:val="7919747D"/>
    <w:rsid w:val="795E52A8"/>
    <w:rsid w:val="7992605B"/>
    <w:rsid w:val="799A31CF"/>
    <w:rsid w:val="79BD4C39"/>
    <w:rsid w:val="79C66CE5"/>
    <w:rsid w:val="79F56560"/>
    <w:rsid w:val="7A3E1E86"/>
    <w:rsid w:val="7A6B6AF1"/>
    <w:rsid w:val="7A8F7EEB"/>
    <w:rsid w:val="7A9932D3"/>
    <w:rsid w:val="7AA717B8"/>
    <w:rsid w:val="7AE77CFC"/>
    <w:rsid w:val="7AF01AA6"/>
    <w:rsid w:val="7AF97888"/>
    <w:rsid w:val="7AFC56D0"/>
    <w:rsid w:val="7B0B6FF2"/>
    <w:rsid w:val="7B611CB5"/>
    <w:rsid w:val="7B8F138F"/>
    <w:rsid w:val="7B916F71"/>
    <w:rsid w:val="7C0D7F8A"/>
    <w:rsid w:val="7C122CFA"/>
    <w:rsid w:val="7C1E1273"/>
    <w:rsid w:val="7C254C59"/>
    <w:rsid w:val="7C3640D5"/>
    <w:rsid w:val="7C8D7DB6"/>
    <w:rsid w:val="7CBD6B87"/>
    <w:rsid w:val="7CE249F2"/>
    <w:rsid w:val="7CF17DE1"/>
    <w:rsid w:val="7D2E0078"/>
    <w:rsid w:val="7D8C05E9"/>
    <w:rsid w:val="7D94273B"/>
    <w:rsid w:val="7DAD0A8D"/>
    <w:rsid w:val="7DC66901"/>
    <w:rsid w:val="7DF622E7"/>
    <w:rsid w:val="7E1C08DF"/>
    <w:rsid w:val="7E260F64"/>
    <w:rsid w:val="7E390E9C"/>
    <w:rsid w:val="7EBE0B74"/>
    <w:rsid w:val="7EC141E6"/>
    <w:rsid w:val="7F0333BC"/>
    <w:rsid w:val="7F3866A9"/>
    <w:rsid w:val="7F7D483D"/>
    <w:rsid w:val="7F951E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7CC1"/>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477CC1"/>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77CC1"/>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477CC1"/>
    <w:pPr>
      <w:numPr>
        <w:ilvl w:val="2"/>
        <w:numId w:val="1"/>
      </w:numPr>
      <w:spacing w:before="260" w:after="260" w:line="416" w:lineRule="auto"/>
      <w:outlineLvl w:val="2"/>
    </w:pPr>
    <w:rPr>
      <w:b/>
      <w:bCs/>
    </w:rPr>
  </w:style>
  <w:style w:type="paragraph" w:styleId="Heading4">
    <w:name w:val="heading 4"/>
    <w:basedOn w:val="Heading3"/>
    <w:next w:val="Normal"/>
    <w:link w:val="Heading4Char"/>
    <w:qFormat/>
    <w:rsid w:val="00477CC1"/>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477CC1"/>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77CC1"/>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77CC1"/>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77CC1"/>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77CC1"/>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477CC1"/>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rsid w:val="00477CC1"/>
    <w:pPr>
      <w:ind w:leftChars="200" w:left="100"/>
    </w:pPr>
  </w:style>
  <w:style w:type="paragraph" w:styleId="List">
    <w:name w:val="List"/>
    <w:basedOn w:val="Normal"/>
    <w:unhideWhenUsed/>
    <w:qFormat/>
    <w:rsid w:val="00477CC1"/>
    <w:pPr>
      <w:ind w:left="200" w:hangingChars="200" w:hanging="200"/>
      <w:contextualSpacing/>
    </w:pPr>
  </w:style>
  <w:style w:type="paragraph" w:styleId="CommentSubject">
    <w:name w:val="annotation subject"/>
    <w:basedOn w:val="CommentText"/>
    <w:next w:val="CommentText"/>
    <w:link w:val="CommentSubjectChar"/>
    <w:semiHidden/>
    <w:qFormat/>
    <w:rsid w:val="00477CC1"/>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477CC1"/>
    <w:pPr>
      <w:jc w:val="left"/>
    </w:pPr>
  </w:style>
  <w:style w:type="paragraph" w:styleId="TOC7">
    <w:name w:val="toc 7"/>
    <w:basedOn w:val="Normal"/>
    <w:next w:val="Normal"/>
    <w:qFormat/>
    <w:rsid w:val="00477CC1"/>
    <w:pPr>
      <w:tabs>
        <w:tab w:val="right" w:leader="dot" w:pos="9241"/>
      </w:tabs>
      <w:ind w:firstLineChars="500" w:firstLine="500"/>
      <w:jc w:val="left"/>
    </w:pPr>
    <w:rPr>
      <w:rFonts w:ascii="宋体"/>
      <w:szCs w:val="21"/>
    </w:rPr>
  </w:style>
  <w:style w:type="paragraph" w:styleId="ListNumber2">
    <w:name w:val="List Number 2"/>
    <w:basedOn w:val="ListNumber"/>
    <w:qFormat/>
    <w:rsid w:val="00477CC1"/>
    <w:pPr>
      <w:ind w:left="851"/>
    </w:pPr>
  </w:style>
  <w:style w:type="paragraph" w:styleId="ListNumber">
    <w:name w:val="List Number"/>
    <w:basedOn w:val="List"/>
    <w:qFormat/>
    <w:rsid w:val="00477CC1"/>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rsid w:val="00477CC1"/>
    <w:pPr>
      <w:ind w:left="1418"/>
    </w:pPr>
  </w:style>
  <w:style w:type="paragraph" w:styleId="ListBullet3">
    <w:name w:val="List Bullet 3"/>
    <w:basedOn w:val="ListBullet2"/>
    <w:qFormat/>
    <w:rsid w:val="00477CC1"/>
    <w:pPr>
      <w:ind w:left="1135"/>
    </w:pPr>
  </w:style>
  <w:style w:type="paragraph" w:styleId="ListBullet2">
    <w:name w:val="List Bullet 2"/>
    <w:basedOn w:val="ListBullet"/>
    <w:qFormat/>
    <w:rsid w:val="00477CC1"/>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477CC1"/>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477CC1"/>
    <w:pPr>
      <w:ind w:left="1680" w:hanging="210"/>
      <w:jc w:val="left"/>
    </w:pPr>
    <w:rPr>
      <w:rFonts w:ascii="Calibri" w:hAnsi="Calibri"/>
      <w:sz w:val="20"/>
      <w:szCs w:val="20"/>
    </w:rPr>
  </w:style>
  <w:style w:type="paragraph" w:styleId="Caption">
    <w:name w:val="caption"/>
    <w:basedOn w:val="Normal"/>
    <w:next w:val="Normal"/>
    <w:link w:val="CaptionChar"/>
    <w:qFormat/>
    <w:rsid w:val="00477CC1"/>
    <w:pPr>
      <w:spacing w:before="152"/>
    </w:pPr>
    <w:rPr>
      <w:rFonts w:ascii="Arial" w:eastAsia="SimHei" w:hAnsi="Arial" w:cs="Arial"/>
      <w:sz w:val="20"/>
      <w:szCs w:val="20"/>
    </w:rPr>
  </w:style>
  <w:style w:type="paragraph" w:styleId="Index5">
    <w:name w:val="index 5"/>
    <w:basedOn w:val="Normal"/>
    <w:next w:val="Normal"/>
    <w:qFormat/>
    <w:rsid w:val="00477CC1"/>
    <w:pPr>
      <w:ind w:left="1050" w:hanging="210"/>
      <w:jc w:val="left"/>
    </w:pPr>
    <w:rPr>
      <w:rFonts w:ascii="Calibri" w:hAnsi="Calibri"/>
      <w:sz w:val="20"/>
      <w:szCs w:val="20"/>
    </w:rPr>
  </w:style>
  <w:style w:type="paragraph" w:styleId="DocumentMap">
    <w:name w:val="Document Map"/>
    <w:basedOn w:val="Normal"/>
    <w:link w:val="DocumentMapChar"/>
    <w:unhideWhenUsed/>
    <w:qFormat/>
    <w:rsid w:val="00477CC1"/>
    <w:rPr>
      <w:rFonts w:ascii="宋体"/>
      <w:sz w:val="18"/>
      <w:szCs w:val="18"/>
    </w:rPr>
  </w:style>
  <w:style w:type="paragraph" w:styleId="Index6">
    <w:name w:val="index 6"/>
    <w:basedOn w:val="Normal"/>
    <w:next w:val="Normal"/>
    <w:qFormat/>
    <w:rsid w:val="00477CC1"/>
    <w:pPr>
      <w:ind w:left="1260" w:hanging="210"/>
      <w:jc w:val="left"/>
    </w:pPr>
    <w:rPr>
      <w:rFonts w:ascii="Calibri" w:hAnsi="Calibri"/>
      <w:sz w:val="20"/>
      <w:szCs w:val="20"/>
    </w:rPr>
  </w:style>
  <w:style w:type="paragraph" w:styleId="BodyText">
    <w:name w:val="Body Text"/>
    <w:basedOn w:val="Normal"/>
    <w:link w:val="BodyTextChar"/>
    <w:qFormat/>
    <w:rsid w:val="00477CC1"/>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rsid w:val="00477CC1"/>
    <w:pPr>
      <w:ind w:left="840" w:hanging="210"/>
      <w:jc w:val="left"/>
    </w:pPr>
    <w:rPr>
      <w:rFonts w:ascii="Calibri" w:hAnsi="Calibri"/>
      <w:sz w:val="20"/>
      <w:szCs w:val="20"/>
    </w:rPr>
  </w:style>
  <w:style w:type="paragraph" w:styleId="TOC5">
    <w:name w:val="toc 5"/>
    <w:basedOn w:val="Normal"/>
    <w:next w:val="Normal"/>
    <w:qFormat/>
    <w:rsid w:val="00477CC1"/>
    <w:pPr>
      <w:tabs>
        <w:tab w:val="right" w:leader="dot" w:pos="9241"/>
      </w:tabs>
      <w:ind w:firstLineChars="300" w:firstLine="300"/>
      <w:jc w:val="left"/>
    </w:pPr>
    <w:rPr>
      <w:rFonts w:ascii="宋体"/>
      <w:szCs w:val="21"/>
    </w:rPr>
  </w:style>
  <w:style w:type="paragraph" w:styleId="TOC3">
    <w:name w:val="toc 3"/>
    <w:basedOn w:val="Normal"/>
    <w:next w:val="Normal"/>
    <w:qFormat/>
    <w:rsid w:val="00477CC1"/>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477CC1"/>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477CC1"/>
    <w:pPr>
      <w:ind w:left="1702"/>
    </w:pPr>
  </w:style>
  <w:style w:type="paragraph" w:styleId="TOC8">
    <w:name w:val="toc 8"/>
    <w:basedOn w:val="Normal"/>
    <w:next w:val="Normal"/>
    <w:qFormat/>
    <w:rsid w:val="00477CC1"/>
    <w:pPr>
      <w:tabs>
        <w:tab w:val="right" w:leader="dot" w:pos="9241"/>
      </w:tabs>
      <w:ind w:firstLineChars="600" w:firstLine="607"/>
      <w:jc w:val="left"/>
    </w:pPr>
    <w:rPr>
      <w:rFonts w:ascii="宋体"/>
      <w:szCs w:val="21"/>
    </w:rPr>
  </w:style>
  <w:style w:type="paragraph" w:styleId="Index3">
    <w:name w:val="index 3"/>
    <w:basedOn w:val="Normal"/>
    <w:next w:val="Normal"/>
    <w:qFormat/>
    <w:rsid w:val="00477CC1"/>
    <w:pPr>
      <w:ind w:left="630" w:hanging="210"/>
      <w:jc w:val="left"/>
    </w:pPr>
    <w:rPr>
      <w:rFonts w:ascii="Calibri" w:hAnsi="Calibri"/>
      <w:sz w:val="20"/>
      <w:szCs w:val="20"/>
    </w:rPr>
  </w:style>
  <w:style w:type="paragraph" w:styleId="EndnoteText">
    <w:name w:val="endnote text"/>
    <w:basedOn w:val="Normal"/>
    <w:link w:val="EndnoteTextChar"/>
    <w:qFormat/>
    <w:rsid w:val="00477CC1"/>
    <w:pPr>
      <w:snapToGrid w:val="0"/>
      <w:jc w:val="left"/>
    </w:pPr>
  </w:style>
  <w:style w:type="paragraph" w:styleId="BalloonText">
    <w:name w:val="Balloon Text"/>
    <w:basedOn w:val="Normal"/>
    <w:link w:val="BalloonTextChar"/>
    <w:unhideWhenUsed/>
    <w:qFormat/>
    <w:rsid w:val="00477CC1"/>
    <w:rPr>
      <w:sz w:val="18"/>
      <w:szCs w:val="18"/>
    </w:rPr>
  </w:style>
  <w:style w:type="paragraph" w:styleId="Footer">
    <w:name w:val="footer"/>
    <w:basedOn w:val="Normal"/>
    <w:link w:val="FooterChar"/>
    <w:uiPriority w:val="99"/>
    <w:qFormat/>
    <w:rsid w:val="00477CC1"/>
    <w:pPr>
      <w:tabs>
        <w:tab w:val="center" w:pos="4153"/>
        <w:tab w:val="right" w:pos="8306"/>
      </w:tabs>
      <w:snapToGrid w:val="0"/>
      <w:jc w:val="left"/>
    </w:pPr>
    <w:rPr>
      <w:sz w:val="18"/>
      <w:szCs w:val="18"/>
    </w:rPr>
  </w:style>
  <w:style w:type="paragraph" w:styleId="Header">
    <w:name w:val="header"/>
    <w:basedOn w:val="Normal"/>
    <w:link w:val="HeaderChar"/>
    <w:uiPriority w:val="99"/>
    <w:qFormat/>
    <w:rsid w:val="00477CC1"/>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477CC1"/>
    <w:pPr>
      <w:tabs>
        <w:tab w:val="right" w:leader="dot" w:pos="9242"/>
      </w:tabs>
      <w:spacing w:beforeLines="25" w:afterLines="25"/>
      <w:jc w:val="left"/>
    </w:pPr>
    <w:rPr>
      <w:rFonts w:ascii="宋体"/>
      <w:szCs w:val="21"/>
    </w:rPr>
  </w:style>
  <w:style w:type="paragraph" w:styleId="TOC4">
    <w:name w:val="toc 4"/>
    <w:basedOn w:val="Normal"/>
    <w:next w:val="Normal"/>
    <w:qFormat/>
    <w:rsid w:val="00477CC1"/>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477CC1"/>
    <w:pPr>
      <w:spacing w:before="120" w:after="120"/>
      <w:jc w:val="center"/>
    </w:pPr>
    <w:rPr>
      <w:rFonts w:ascii="Calibri" w:hAnsi="Calibri"/>
      <w:b/>
      <w:bCs/>
      <w:iCs/>
      <w:szCs w:val="20"/>
    </w:rPr>
  </w:style>
  <w:style w:type="paragraph" w:styleId="Index1">
    <w:name w:val="index 1"/>
    <w:basedOn w:val="Normal"/>
    <w:next w:val="a"/>
    <w:qFormat/>
    <w:rsid w:val="00477CC1"/>
    <w:pPr>
      <w:tabs>
        <w:tab w:val="right" w:leader="dot" w:pos="9299"/>
      </w:tabs>
      <w:jc w:val="left"/>
    </w:pPr>
    <w:rPr>
      <w:rFonts w:ascii="宋体"/>
      <w:szCs w:val="21"/>
    </w:rPr>
  </w:style>
  <w:style w:type="paragraph" w:customStyle="1" w:styleId="a">
    <w:name w:val="段"/>
    <w:link w:val="CharChar"/>
    <w:qFormat/>
    <w:rsid w:val="00477CC1"/>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lang w:val="en-US" w:eastAsia="zh-CN"/>
    </w:rPr>
  </w:style>
  <w:style w:type="paragraph" w:styleId="FootnoteText">
    <w:name w:val="footnote text"/>
    <w:basedOn w:val="Normal"/>
    <w:link w:val="FootnoteTextChar"/>
    <w:qFormat/>
    <w:rsid w:val="00477CC1"/>
    <w:pPr>
      <w:tabs>
        <w:tab w:val="left" w:pos="0"/>
      </w:tabs>
      <w:snapToGrid w:val="0"/>
      <w:jc w:val="left"/>
    </w:pPr>
    <w:rPr>
      <w:rFonts w:ascii="宋体"/>
      <w:sz w:val="18"/>
      <w:szCs w:val="18"/>
    </w:rPr>
  </w:style>
  <w:style w:type="paragraph" w:styleId="TOC6">
    <w:name w:val="toc 6"/>
    <w:basedOn w:val="Normal"/>
    <w:next w:val="Normal"/>
    <w:qFormat/>
    <w:rsid w:val="00477CC1"/>
    <w:pPr>
      <w:tabs>
        <w:tab w:val="right" w:leader="dot" w:pos="9241"/>
      </w:tabs>
      <w:ind w:firstLineChars="400" w:firstLine="400"/>
      <w:jc w:val="left"/>
    </w:pPr>
    <w:rPr>
      <w:rFonts w:ascii="宋体"/>
      <w:szCs w:val="21"/>
    </w:rPr>
  </w:style>
  <w:style w:type="paragraph" w:styleId="List5">
    <w:name w:val="List 5"/>
    <w:basedOn w:val="List4"/>
    <w:qFormat/>
    <w:rsid w:val="00477CC1"/>
    <w:pPr>
      <w:ind w:left="1702"/>
    </w:pPr>
  </w:style>
  <w:style w:type="paragraph" w:styleId="List4">
    <w:name w:val="List 4"/>
    <w:basedOn w:val="List3"/>
    <w:qFormat/>
    <w:rsid w:val="00477CC1"/>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477CC1"/>
    <w:pPr>
      <w:ind w:left="1470" w:hanging="210"/>
      <w:jc w:val="left"/>
    </w:pPr>
    <w:rPr>
      <w:rFonts w:ascii="Calibri" w:hAnsi="Calibri"/>
      <w:sz w:val="20"/>
      <w:szCs w:val="20"/>
    </w:rPr>
  </w:style>
  <w:style w:type="paragraph" w:styleId="Index9">
    <w:name w:val="index 9"/>
    <w:basedOn w:val="Normal"/>
    <w:next w:val="Normal"/>
    <w:qFormat/>
    <w:rsid w:val="00477CC1"/>
    <w:pPr>
      <w:ind w:left="1890" w:hanging="210"/>
      <w:jc w:val="left"/>
    </w:pPr>
    <w:rPr>
      <w:rFonts w:ascii="Calibri" w:hAnsi="Calibri"/>
      <w:sz w:val="20"/>
      <w:szCs w:val="20"/>
    </w:rPr>
  </w:style>
  <w:style w:type="paragraph" w:styleId="TableofFigures">
    <w:name w:val="table of figures"/>
    <w:basedOn w:val="Normal"/>
    <w:next w:val="Normal"/>
    <w:uiPriority w:val="99"/>
    <w:qFormat/>
    <w:rsid w:val="00477CC1"/>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477CC1"/>
    <w:pPr>
      <w:tabs>
        <w:tab w:val="right" w:leader="dot" w:pos="9242"/>
      </w:tabs>
    </w:pPr>
    <w:rPr>
      <w:rFonts w:ascii="宋体"/>
      <w:szCs w:val="21"/>
    </w:rPr>
  </w:style>
  <w:style w:type="paragraph" w:styleId="TOC9">
    <w:name w:val="toc 9"/>
    <w:basedOn w:val="Normal"/>
    <w:next w:val="Normal"/>
    <w:qFormat/>
    <w:rsid w:val="00477CC1"/>
    <w:pPr>
      <w:ind w:left="1470"/>
      <w:jc w:val="left"/>
    </w:pPr>
    <w:rPr>
      <w:sz w:val="20"/>
      <w:szCs w:val="20"/>
    </w:rPr>
  </w:style>
  <w:style w:type="paragraph" w:styleId="NormalWeb">
    <w:name w:val="Normal (Web)"/>
    <w:basedOn w:val="Normal"/>
    <w:uiPriority w:val="99"/>
    <w:unhideWhenUsed/>
    <w:qFormat/>
    <w:rsid w:val="00477CC1"/>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477CC1"/>
    <w:pPr>
      <w:ind w:left="420" w:hanging="210"/>
      <w:jc w:val="left"/>
    </w:pPr>
    <w:rPr>
      <w:rFonts w:ascii="Calibri" w:hAnsi="Calibri"/>
      <w:sz w:val="20"/>
      <w:szCs w:val="20"/>
    </w:rPr>
  </w:style>
  <w:style w:type="character" w:styleId="Strong">
    <w:name w:val="Strong"/>
    <w:basedOn w:val="DefaultParagraphFont"/>
    <w:uiPriority w:val="22"/>
    <w:qFormat/>
    <w:rsid w:val="00477CC1"/>
    <w:rPr>
      <w:b/>
    </w:rPr>
  </w:style>
  <w:style w:type="character" w:styleId="EndnoteReference">
    <w:name w:val="endnote reference"/>
    <w:basedOn w:val="DefaultParagraphFont"/>
    <w:qFormat/>
    <w:rsid w:val="00477CC1"/>
    <w:rPr>
      <w:vertAlign w:val="superscript"/>
    </w:rPr>
  </w:style>
  <w:style w:type="character" w:styleId="PageNumber">
    <w:name w:val="page number"/>
    <w:basedOn w:val="DefaultParagraphFont"/>
    <w:qFormat/>
    <w:rsid w:val="00477CC1"/>
  </w:style>
  <w:style w:type="character" w:styleId="FollowedHyperlink">
    <w:name w:val="FollowedHyperlink"/>
    <w:basedOn w:val="DefaultParagraphFont"/>
    <w:qFormat/>
    <w:rsid w:val="00477CC1"/>
    <w:rPr>
      <w:color w:val="800080"/>
      <w:u w:val="single"/>
    </w:rPr>
  </w:style>
  <w:style w:type="character" w:styleId="Emphasis">
    <w:name w:val="Emphasis"/>
    <w:qFormat/>
    <w:rsid w:val="00477CC1"/>
    <w:rPr>
      <w:i/>
      <w:iCs/>
    </w:rPr>
  </w:style>
  <w:style w:type="character" w:styleId="Hyperlink">
    <w:name w:val="Hyperlink"/>
    <w:basedOn w:val="DefaultParagraphFont"/>
    <w:uiPriority w:val="99"/>
    <w:qFormat/>
    <w:rsid w:val="00477CC1"/>
    <w:rPr>
      <w:color w:val="0000FF"/>
      <w:spacing w:val="0"/>
      <w:w w:val="100"/>
      <w:szCs w:val="21"/>
      <w:u w:val="single"/>
      <w:lang w:val="en-US" w:eastAsia="zh-CN"/>
    </w:rPr>
  </w:style>
  <w:style w:type="character" w:styleId="CommentReference">
    <w:name w:val="annotation reference"/>
    <w:qFormat/>
    <w:rsid w:val="00477CC1"/>
    <w:rPr>
      <w:sz w:val="16"/>
    </w:rPr>
  </w:style>
  <w:style w:type="character" w:styleId="FootnoteReference">
    <w:name w:val="footnote reference"/>
    <w:basedOn w:val="DefaultParagraphFont"/>
    <w:qFormat/>
    <w:rsid w:val="00477CC1"/>
    <w:rPr>
      <w:vertAlign w:val="superscript"/>
    </w:rPr>
  </w:style>
  <w:style w:type="table" w:styleId="TableGrid">
    <w:name w:val="Table Grid"/>
    <w:basedOn w:val="TableNormal"/>
    <w:qFormat/>
    <w:rsid w:val="00477CC1"/>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477CC1"/>
    <w:rPr>
      <w:kern w:val="2"/>
      <w:sz w:val="18"/>
      <w:szCs w:val="18"/>
    </w:rPr>
  </w:style>
  <w:style w:type="paragraph" w:customStyle="1" w:styleId="ListParagraph1">
    <w:name w:val="List Paragraph1"/>
    <w:basedOn w:val="Normal"/>
    <w:link w:val="ListParagraphChar"/>
    <w:uiPriority w:val="99"/>
    <w:unhideWhenUsed/>
    <w:qFormat/>
    <w:rsid w:val="00477CC1"/>
    <w:pPr>
      <w:ind w:firstLineChars="200" w:firstLine="420"/>
    </w:pPr>
  </w:style>
  <w:style w:type="character" w:customStyle="1" w:styleId="DocumentMapChar">
    <w:name w:val="Document Map Char"/>
    <w:basedOn w:val="DefaultParagraphFont"/>
    <w:link w:val="DocumentMap"/>
    <w:qFormat/>
    <w:rsid w:val="00477CC1"/>
    <w:rPr>
      <w:rFonts w:ascii="宋体"/>
      <w:kern w:val="2"/>
      <w:sz w:val="18"/>
      <w:szCs w:val="18"/>
    </w:rPr>
  </w:style>
  <w:style w:type="character" w:customStyle="1" w:styleId="Heading1Char">
    <w:name w:val="Heading 1 Char"/>
    <w:basedOn w:val="DefaultParagraphFont"/>
    <w:link w:val="Heading1"/>
    <w:qFormat/>
    <w:rsid w:val="00477CC1"/>
    <w:rPr>
      <w:b/>
      <w:bCs/>
      <w:kern w:val="44"/>
      <w:sz w:val="44"/>
      <w:szCs w:val="44"/>
    </w:rPr>
  </w:style>
  <w:style w:type="character" w:customStyle="1" w:styleId="Heading2Char">
    <w:name w:val="Heading 2 Char"/>
    <w:basedOn w:val="DefaultParagraphFont"/>
    <w:link w:val="Heading2"/>
    <w:qFormat/>
    <w:rsid w:val="00477CC1"/>
    <w:rPr>
      <w:rFonts w:ascii="Arial" w:eastAsia="MS Mincho" w:hAnsi="Arial"/>
      <w:sz w:val="32"/>
      <w:szCs w:val="32"/>
      <w:lang w:val="en-GB"/>
    </w:rPr>
  </w:style>
  <w:style w:type="character" w:customStyle="1" w:styleId="Heading3Char">
    <w:name w:val="Heading 3 Char"/>
    <w:basedOn w:val="DefaultParagraphFont"/>
    <w:link w:val="Heading3"/>
    <w:qFormat/>
    <w:rsid w:val="00477CC1"/>
    <w:rPr>
      <w:b/>
      <w:bCs/>
      <w:kern w:val="2"/>
      <w:sz w:val="32"/>
      <w:szCs w:val="32"/>
    </w:rPr>
  </w:style>
  <w:style w:type="character" w:customStyle="1" w:styleId="Heading4Char">
    <w:name w:val="Heading 4 Char"/>
    <w:basedOn w:val="DefaultParagraphFont"/>
    <w:link w:val="Heading4"/>
    <w:qFormat/>
    <w:rsid w:val="00477CC1"/>
    <w:rPr>
      <w:rFonts w:ascii="Arial" w:eastAsia="SimHei" w:hAnsi="Arial"/>
      <w:b/>
      <w:kern w:val="2"/>
      <w:sz w:val="28"/>
      <w:szCs w:val="24"/>
    </w:rPr>
  </w:style>
  <w:style w:type="character" w:customStyle="1" w:styleId="Heading5Char">
    <w:name w:val="Heading 5 Char"/>
    <w:basedOn w:val="DefaultParagraphFont"/>
    <w:link w:val="Heading5"/>
    <w:qFormat/>
    <w:rsid w:val="00477CC1"/>
    <w:rPr>
      <w:b/>
      <w:kern w:val="2"/>
      <w:sz w:val="28"/>
      <w:szCs w:val="24"/>
    </w:rPr>
  </w:style>
  <w:style w:type="character" w:customStyle="1" w:styleId="Heading6Char">
    <w:name w:val="Heading 6 Char"/>
    <w:basedOn w:val="DefaultParagraphFont"/>
    <w:link w:val="Heading6"/>
    <w:qFormat/>
    <w:rsid w:val="00477CC1"/>
    <w:rPr>
      <w:rFonts w:ascii="Arial" w:eastAsia="SimHei" w:hAnsi="Arial"/>
      <w:b/>
      <w:kern w:val="2"/>
      <w:sz w:val="24"/>
      <w:szCs w:val="24"/>
    </w:rPr>
  </w:style>
  <w:style w:type="character" w:customStyle="1" w:styleId="Heading7Char">
    <w:name w:val="Heading 7 Char"/>
    <w:basedOn w:val="DefaultParagraphFont"/>
    <w:link w:val="Heading7"/>
    <w:qFormat/>
    <w:rsid w:val="00477CC1"/>
    <w:rPr>
      <w:b/>
      <w:kern w:val="2"/>
      <w:sz w:val="24"/>
      <w:szCs w:val="24"/>
    </w:rPr>
  </w:style>
  <w:style w:type="character" w:customStyle="1" w:styleId="Heading8Char">
    <w:name w:val="Heading 8 Char"/>
    <w:basedOn w:val="DefaultParagraphFont"/>
    <w:link w:val="Heading8"/>
    <w:qFormat/>
    <w:rsid w:val="00477CC1"/>
    <w:rPr>
      <w:rFonts w:ascii="Arial" w:eastAsia="SimHei" w:hAnsi="Arial"/>
      <w:kern w:val="2"/>
      <w:sz w:val="24"/>
      <w:szCs w:val="24"/>
    </w:rPr>
  </w:style>
  <w:style w:type="character" w:customStyle="1" w:styleId="Heading9Char">
    <w:name w:val="Heading 9 Char"/>
    <w:basedOn w:val="DefaultParagraphFont"/>
    <w:link w:val="Heading9"/>
    <w:qFormat/>
    <w:rsid w:val="00477CC1"/>
    <w:rPr>
      <w:rFonts w:ascii="Arial" w:eastAsia="SimHei" w:hAnsi="Arial"/>
      <w:kern w:val="2"/>
      <w:sz w:val="21"/>
      <w:szCs w:val="24"/>
    </w:rPr>
  </w:style>
  <w:style w:type="character" w:customStyle="1" w:styleId="CharChar5">
    <w:name w:val="Char Char5"/>
    <w:qFormat/>
    <w:rsid w:val="00477CC1"/>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477CC1"/>
    <w:rPr>
      <w:rFonts w:ascii="Arial" w:eastAsia="MS Mincho" w:hAnsi="Arial"/>
      <w:szCs w:val="24"/>
      <w:lang w:val="en-GB" w:eastAsia="en-GB" w:bidi="ar-SA"/>
    </w:rPr>
  </w:style>
  <w:style w:type="character" w:customStyle="1" w:styleId="Doc-text2Char">
    <w:name w:val="Doc-text2 Char"/>
    <w:qFormat/>
    <w:rsid w:val="00477CC1"/>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477CC1"/>
    <w:pPr>
      <w:tabs>
        <w:tab w:val="left" w:pos="1259"/>
      </w:tabs>
      <w:ind w:left="1619" w:hanging="360"/>
    </w:pPr>
  </w:style>
  <w:style w:type="paragraph" w:customStyle="1" w:styleId="Doc-text2">
    <w:name w:val="Doc-text2"/>
    <w:basedOn w:val="Normal"/>
    <w:link w:val="Doc-text2CharChar"/>
    <w:qFormat/>
    <w:rsid w:val="00477CC1"/>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477CC1"/>
    <w:rPr>
      <w:rFonts w:ascii="Arial" w:eastAsia="MS Mincho" w:hAnsi="Arial"/>
      <w:b/>
      <w:szCs w:val="24"/>
      <w:lang w:val="en-GB" w:eastAsia="en-GB"/>
    </w:rPr>
  </w:style>
  <w:style w:type="paragraph" w:customStyle="1" w:styleId="BoldComments">
    <w:name w:val="Bold Comments"/>
    <w:basedOn w:val="SubHeading"/>
    <w:link w:val="BoldCommentsChar"/>
    <w:qFormat/>
    <w:rsid w:val="00477CC1"/>
  </w:style>
  <w:style w:type="paragraph" w:customStyle="1" w:styleId="SubHeading">
    <w:name w:val="SubHeading"/>
    <w:basedOn w:val="Normal"/>
    <w:next w:val="Doc-title"/>
    <w:link w:val="SubHeadingCharChar"/>
    <w:qFormat/>
    <w:rsid w:val="00477CC1"/>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477CC1"/>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477CC1"/>
    <w:rPr>
      <w:rFonts w:ascii="Arial" w:eastAsia="Batang" w:hAnsi="Arial"/>
      <w:b/>
      <w:color w:val="0000FF"/>
      <w:kern w:val="2"/>
      <w:lang w:eastAsia="en-US"/>
    </w:rPr>
  </w:style>
  <w:style w:type="paragraph" w:customStyle="1" w:styleId="TH">
    <w:name w:val="TH"/>
    <w:basedOn w:val="Normal"/>
    <w:link w:val="THChar"/>
    <w:qFormat/>
    <w:rsid w:val="00477CC1"/>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477CC1"/>
    <w:rPr>
      <w:rFonts w:ascii="Arial" w:eastAsia="SimHei" w:hAnsi="Arial" w:cs="Arial"/>
      <w:kern w:val="2"/>
    </w:rPr>
  </w:style>
  <w:style w:type="character" w:customStyle="1" w:styleId="3CharChar">
    <w:name w:val="标题 3 Char Char"/>
    <w:basedOn w:val="DefaultParagraphFont"/>
    <w:qFormat/>
    <w:rsid w:val="00477CC1"/>
    <w:rPr>
      <w:b/>
      <w:bCs/>
      <w:kern w:val="2"/>
      <w:sz w:val="32"/>
      <w:szCs w:val="32"/>
    </w:rPr>
  </w:style>
  <w:style w:type="character" w:customStyle="1" w:styleId="CommentSubjectChar">
    <w:name w:val="Comment Subject Char"/>
    <w:basedOn w:val="Char"/>
    <w:link w:val="CommentSubject"/>
    <w:semiHidden/>
    <w:qFormat/>
    <w:rsid w:val="00477CC1"/>
    <w:rPr>
      <w:rFonts w:ascii="Arial" w:eastAsia="MS Mincho" w:hAnsi="Arial"/>
      <w:b/>
      <w:bCs/>
      <w:lang w:val="en-GB" w:eastAsia="en-GB"/>
    </w:rPr>
  </w:style>
  <w:style w:type="character" w:customStyle="1" w:styleId="Char">
    <w:name w:val="批注文字 Char"/>
    <w:basedOn w:val="DefaultParagraphFont"/>
    <w:qFormat/>
    <w:rsid w:val="00477CC1"/>
    <w:rPr>
      <w:rFonts w:eastAsia="MS Mincho"/>
      <w:lang w:val="en-GB"/>
    </w:rPr>
  </w:style>
  <w:style w:type="character" w:customStyle="1" w:styleId="B1Char1">
    <w:name w:val="B1 Char1"/>
    <w:link w:val="B1"/>
    <w:qFormat/>
    <w:locked/>
    <w:rsid w:val="00477CC1"/>
    <w:rPr>
      <w:lang w:val="en-GB" w:eastAsia="ja-JP"/>
    </w:rPr>
  </w:style>
  <w:style w:type="paragraph" w:customStyle="1" w:styleId="B1">
    <w:name w:val="B1"/>
    <w:basedOn w:val="List"/>
    <w:link w:val="B1Char1"/>
    <w:qFormat/>
    <w:rsid w:val="00477CC1"/>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477CC1"/>
    <w:rPr>
      <w:rFonts w:ascii="Arial" w:eastAsia="MS Mincho" w:hAnsi="Arial"/>
      <w:b/>
      <w:szCs w:val="24"/>
      <w:lang w:val="en-GB" w:eastAsia="en-GB" w:bidi="ar-SA"/>
    </w:rPr>
  </w:style>
  <w:style w:type="character" w:customStyle="1" w:styleId="InternalChar">
    <w:name w:val="Internal Char"/>
    <w:link w:val="Internal"/>
    <w:qFormat/>
    <w:rsid w:val="00477CC1"/>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477CC1"/>
    <w:rPr>
      <w:color w:val="333399"/>
    </w:rPr>
  </w:style>
  <w:style w:type="paragraph" w:customStyle="1" w:styleId="Comments">
    <w:name w:val="Comments"/>
    <w:basedOn w:val="Normal"/>
    <w:link w:val="CommentsCharChar"/>
    <w:qFormat/>
    <w:rsid w:val="00477CC1"/>
    <w:pPr>
      <w:widowControl/>
      <w:spacing w:before="40"/>
      <w:jc w:val="left"/>
    </w:pPr>
    <w:rPr>
      <w:rFonts w:ascii="Arial" w:eastAsia="MS Mincho" w:hAnsi="Arial"/>
      <w:i/>
      <w:kern w:val="0"/>
      <w:sz w:val="18"/>
      <w:lang w:val="en-GB" w:eastAsia="en-GB"/>
    </w:rPr>
  </w:style>
  <w:style w:type="character" w:customStyle="1" w:styleId="CharChar7">
    <w:name w:val="Char Char7"/>
    <w:qFormat/>
    <w:rsid w:val="00477CC1"/>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477CC1"/>
    <w:rPr>
      <w:rFonts w:ascii="Arial" w:eastAsia="MS Mincho" w:hAnsi="Arial"/>
      <w:i/>
      <w:sz w:val="18"/>
      <w:szCs w:val="24"/>
      <w:lang w:val="en-GB" w:eastAsia="en-GB"/>
    </w:rPr>
  </w:style>
  <w:style w:type="character" w:customStyle="1" w:styleId="CharChar">
    <w:name w:val="段 Char Char"/>
    <w:basedOn w:val="DefaultParagraphFont"/>
    <w:link w:val="a"/>
    <w:qFormat/>
    <w:rsid w:val="00477CC1"/>
    <w:rPr>
      <w:rFonts w:ascii="宋体"/>
      <w:sz w:val="21"/>
    </w:rPr>
  </w:style>
  <w:style w:type="character" w:customStyle="1" w:styleId="SubHeadingChar">
    <w:name w:val="SubHeading Char"/>
    <w:qFormat/>
    <w:rsid w:val="00477CC1"/>
    <w:rPr>
      <w:rFonts w:ascii="Arial" w:eastAsia="MS Mincho" w:hAnsi="Arial"/>
      <w:b/>
      <w:szCs w:val="24"/>
      <w:lang w:val="en-GB" w:eastAsia="en-GB" w:bidi="ar-SA"/>
    </w:rPr>
  </w:style>
  <w:style w:type="character" w:customStyle="1" w:styleId="TALChar">
    <w:name w:val="TAL Char"/>
    <w:link w:val="TAL"/>
    <w:qFormat/>
    <w:rsid w:val="00477CC1"/>
    <w:rPr>
      <w:rFonts w:ascii="Arial" w:eastAsia="MS Mincho" w:hAnsi="Arial" w:cs="Arial"/>
      <w:sz w:val="18"/>
      <w:szCs w:val="18"/>
      <w:lang w:val="en-GB"/>
    </w:rPr>
  </w:style>
  <w:style w:type="paragraph" w:customStyle="1" w:styleId="TAL">
    <w:name w:val="TAL"/>
    <w:basedOn w:val="Normal"/>
    <w:link w:val="TALChar"/>
    <w:qFormat/>
    <w:rsid w:val="00477CC1"/>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477CC1"/>
    <w:rPr>
      <w:rFonts w:eastAsia="MS Mincho"/>
      <w:lang w:val="en-GB" w:eastAsia="ja-JP"/>
    </w:rPr>
  </w:style>
  <w:style w:type="paragraph" w:customStyle="1" w:styleId="B2">
    <w:name w:val="B2"/>
    <w:basedOn w:val="List2"/>
    <w:link w:val="B2Char"/>
    <w:qFormat/>
    <w:rsid w:val="00477CC1"/>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477CC1"/>
  </w:style>
  <w:style w:type="character" w:customStyle="1" w:styleId="Doc-titleChar">
    <w:name w:val="Doc-title Char"/>
    <w:qFormat/>
    <w:rsid w:val="00477CC1"/>
    <w:rPr>
      <w:rFonts w:ascii="Arial" w:eastAsia="MS Mincho" w:hAnsi="Arial"/>
      <w:szCs w:val="24"/>
      <w:lang w:val="en-GB" w:eastAsia="en-GB" w:bidi="ar-SA"/>
    </w:rPr>
  </w:style>
  <w:style w:type="character" w:customStyle="1" w:styleId="1CharChar">
    <w:name w:val="标题 1 Char Char"/>
    <w:basedOn w:val="DefaultParagraphFont"/>
    <w:qFormat/>
    <w:rsid w:val="00477CC1"/>
    <w:rPr>
      <w:b/>
      <w:bCs/>
      <w:kern w:val="44"/>
      <w:sz w:val="44"/>
      <w:szCs w:val="44"/>
    </w:rPr>
  </w:style>
  <w:style w:type="character" w:customStyle="1" w:styleId="Doc-titleCharChar">
    <w:name w:val="Doc-title Char Char"/>
    <w:basedOn w:val="DefaultParagraphFont"/>
    <w:link w:val="Doc-title"/>
    <w:qFormat/>
    <w:rsid w:val="00477CC1"/>
    <w:rPr>
      <w:rFonts w:ascii="Arial" w:eastAsia="MS Mincho" w:hAnsi="Arial"/>
      <w:szCs w:val="24"/>
      <w:lang w:val="en-GB" w:eastAsia="en-GB"/>
    </w:rPr>
  </w:style>
  <w:style w:type="character" w:customStyle="1" w:styleId="emailstyle20">
    <w:name w:val="emailstyle20"/>
    <w:semiHidden/>
    <w:qFormat/>
    <w:rsid w:val="00477CC1"/>
    <w:rPr>
      <w:rFonts w:ascii="Arial" w:hAnsi="Arial" w:cs="Arial" w:hint="default"/>
      <w:color w:val="auto"/>
      <w:sz w:val="20"/>
      <w:szCs w:val="20"/>
    </w:rPr>
  </w:style>
  <w:style w:type="character" w:customStyle="1" w:styleId="FooterChar">
    <w:name w:val="Footer Char"/>
    <w:link w:val="Footer"/>
    <w:uiPriority w:val="99"/>
    <w:qFormat/>
    <w:rsid w:val="00477CC1"/>
    <w:rPr>
      <w:kern w:val="2"/>
      <w:sz w:val="18"/>
      <w:szCs w:val="18"/>
    </w:rPr>
  </w:style>
  <w:style w:type="character" w:customStyle="1" w:styleId="PlaceholderText1">
    <w:name w:val="Placeholder Text1"/>
    <w:uiPriority w:val="99"/>
    <w:semiHidden/>
    <w:qFormat/>
    <w:rsid w:val="00477CC1"/>
    <w:rPr>
      <w:color w:val="808080"/>
    </w:rPr>
  </w:style>
  <w:style w:type="character" w:customStyle="1" w:styleId="CharChar0">
    <w:name w:val="附录公式 Char Char"/>
    <w:basedOn w:val="CharChar"/>
    <w:link w:val="a0"/>
    <w:qFormat/>
    <w:rsid w:val="00477CC1"/>
    <w:rPr>
      <w:rFonts w:ascii="宋体"/>
      <w:sz w:val="21"/>
    </w:rPr>
  </w:style>
  <w:style w:type="paragraph" w:customStyle="1" w:styleId="a0">
    <w:name w:val="附录公式"/>
    <w:basedOn w:val="a"/>
    <w:next w:val="a"/>
    <w:link w:val="CharChar0"/>
    <w:qFormat/>
    <w:rsid w:val="00477CC1"/>
  </w:style>
  <w:style w:type="character" w:customStyle="1" w:styleId="PlainTextChar">
    <w:name w:val="Plain Text Char"/>
    <w:basedOn w:val="DefaultParagraphFont"/>
    <w:link w:val="PlainText"/>
    <w:uiPriority w:val="99"/>
    <w:qFormat/>
    <w:rsid w:val="00477CC1"/>
    <w:rPr>
      <w:rFonts w:ascii="Consolas" w:eastAsia="Calibri" w:hAnsi="Consolas"/>
      <w:sz w:val="21"/>
      <w:szCs w:val="21"/>
      <w:lang w:eastAsia="en-US"/>
    </w:rPr>
  </w:style>
  <w:style w:type="character" w:customStyle="1" w:styleId="CharChar1">
    <w:name w:val="首示例 Char Char"/>
    <w:basedOn w:val="DefaultParagraphFont"/>
    <w:link w:val="a1"/>
    <w:qFormat/>
    <w:rsid w:val="00477CC1"/>
    <w:rPr>
      <w:rFonts w:ascii="宋体" w:hAnsi="宋体"/>
      <w:kern w:val="2"/>
      <w:sz w:val="18"/>
      <w:szCs w:val="18"/>
    </w:rPr>
  </w:style>
  <w:style w:type="paragraph" w:customStyle="1" w:styleId="a1">
    <w:name w:val="首示例"/>
    <w:next w:val="a"/>
    <w:link w:val="CharChar1"/>
    <w:qFormat/>
    <w:rsid w:val="00477CC1"/>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sid w:val="00477CC1"/>
    <w:rPr>
      <w:rFonts w:ascii="Arial" w:eastAsia="MS Mincho" w:hAnsi="Arial"/>
      <w:b/>
      <w:szCs w:val="24"/>
      <w:lang w:val="en-GB" w:eastAsia="en-GB"/>
    </w:rPr>
  </w:style>
  <w:style w:type="character" w:customStyle="1" w:styleId="a2">
    <w:name w:val="发布"/>
    <w:basedOn w:val="DefaultParagraphFont"/>
    <w:qFormat/>
    <w:rsid w:val="00477CC1"/>
    <w:rPr>
      <w:rFonts w:ascii="SimHei" w:eastAsia="SimHei"/>
      <w:spacing w:val="85"/>
      <w:w w:val="100"/>
      <w:position w:val="3"/>
      <w:sz w:val="28"/>
      <w:szCs w:val="28"/>
    </w:rPr>
  </w:style>
  <w:style w:type="character" w:customStyle="1" w:styleId="CharChar6">
    <w:name w:val="Char Char6"/>
    <w:qFormat/>
    <w:rsid w:val="00477CC1"/>
    <w:rPr>
      <w:rFonts w:ascii="Arial" w:eastAsia="MS Mincho" w:hAnsi="Arial" w:cs="Arial"/>
      <w:bCs/>
      <w:sz w:val="26"/>
      <w:szCs w:val="26"/>
      <w:lang w:val="en-GB" w:eastAsia="en-GB" w:bidi="ar-SA"/>
    </w:rPr>
  </w:style>
  <w:style w:type="character" w:customStyle="1" w:styleId="B3Char2">
    <w:name w:val="B3 Char2"/>
    <w:link w:val="B3"/>
    <w:qFormat/>
    <w:rsid w:val="00477CC1"/>
    <w:rPr>
      <w:rFonts w:eastAsia="Malgun Gothic"/>
      <w:lang w:eastAsia="en-US"/>
    </w:rPr>
  </w:style>
  <w:style w:type="paragraph" w:customStyle="1" w:styleId="B3">
    <w:name w:val="B3"/>
    <w:basedOn w:val="List3"/>
    <w:link w:val="B3Char2"/>
    <w:qFormat/>
    <w:rsid w:val="00477CC1"/>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477CC1"/>
    <w:rPr>
      <w:rFonts w:ascii="Arial" w:eastAsia="MS Mincho" w:hAnsi="Arial"/>
      <w:szCs w:val="24"/>
      <w:lang w:val="en-GB" w:eastAsia="en-GB"/>
    </w:rPr>
  </w:style>
  <w:style w:type="character" w:customStyle="1" w:styleId="DoclistChar">
    <w:name w:val="Doc list Char"/>
    <w:basedOn w:val="Doc-titleChar"/>
    <w:link w:val="Doclist"/>
    <w:qFormat/>
    <w:rsid w:val="00477CC1"/>
    <w:rPr>
      <w:rFonts w:ascii="Arial" w:eastAsia="MS Mincho" w:hAnsi="Arial"/>
      <w:szCs w:val="24"/>
      <w:lang w:val="en-GB" w:eastAsia="en-GB" w:bidi="ar-SA"/>
    </w:rPr>
  </w:style>
  <w:style w:type="paragraph" w:customStyle="1" w:styleId="Doclist">
    <w:name w:val="Doc list"/>
    <w:basedOn w:val="Doc-title"/>
    <w:link w:val="DoclistChar"/>
    <w:qFormat/>
    <w:rsid w:val="00477CC1"/>
    <w:pPr>
      <w:spacing w:before="60"/>
      <w:ind w:left="1259" w:hanging="1259"/>
    </w:pPr>
  </w:style>
  <w:style w:type="character" w:customStyle="1" w:styleId="EmailDiscussionCharChar">
    <w:name w:val="EmailDiscussion Char Char"/>
    <w:link w:val="EmailDiscussion"/>
    <w:qFormat/>
    <w:rsid w:val="00477CC1"/>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477CC1"/>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477CC1"/>
    <w:rPr>
      <w:kern w:val="2"/>
      <w:sz w:val="18"/>
      <w:szCs w:val="18"/>
    </w:rPr>
  </w:style>
  <w:style w:type="character" w:customStyle="1" w:styleId="Doc-text2CharChar">
    <w:name w:val="Doc-text2 Char Char"/>
    <w:basedOn w:val="DefaultParagraphFont"/>
    <w:link w:val="Doc-text2"/>
    <w:qFormat/>
    <w:rsid w:val="00477CC1"/>
    <w:rPr>
      <w:rFonts w:ascii="Arial" w:eastAsia="MS Mincho" w:hAnsi="Arial"/>
      <w:szCs w:val="24"/>
      <w:lang w:val="en-GB" w:eastAsia="en-GB"/>
    </w:rPr>
  </w:style>
  <w:style w:type="character" w:customStyle="1" w:styleId="TALCar">
    <w:name w:val="TAL Car"/>
    <w:qFormat/>
    <w:rsid w:val="00477CC1"/>
    <w:rPr>
      <w:rFonts w:ascii="Arial" w:eastAsia="Times New Roman" w:hAnsi="Arial"/>
      <w:sz w:val="18"/>
      <w:lang w:val="en-GB"/>
    </w:rPr>
  </w:style>
  <w:style w:type="character" w:customStyle="1" w:styleId="CommentsChar">
    <w:name w:val="Comments Char"/>
    <w:qFormat/>
    <w:rsid w:val="00477CC1"/>
    <w:rPr>
      <w:rFonts w:ascii="Arial" w:eastAsia="MS Mincho" w:hAnsi="Arial"/>
      <w:i/>
      <w:sz w:val="18"/>
      <w:szCs w:val="24"/>
      <w:lang w:val="en-GB" w:eastAsia="en-GB" w:bidi="ar-SA"/>
    </w:rPr>
  </w:style>
  <w:style w:type="paragraph" w:customStyle="1" w:styleId="ZB">
    <w:name w:val="ZB"/>
    <w:qFormat/>
    <w:rsid w:val="00477CC1"/>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477CC1"/>
    <w:pPr>
      <w:spacing w:line="0" w:lineRule="atLeast"/>
    </w:pPr>
    <w:rPr>
      <w:rFonts w:ascii="SimHei" w:eastAsia="SimHei"/>
      <w:b w:val="0"/>
    </w:rPr>
  </w:style>
  <w:style w:type="paragraph" w:customStyle="1" w:styleId="a4">
    <w:name w:val="发布部门"/>
    <w:next w:val="a"/>
    <w:qFormat/>
    <w:rsid w:val="00477CC1"/>
    <w:pPr>
      <w:spacing w:after="160" w:line="259" w:lineRule="auto"/>
      <w:jc w:val="center"/>
    </w:pPr>
    <w:rPr>
      <w:rFonts w:ascii="宋体" w:eastAsiaTheme="minorEastAsia"/>
      <w:b/>
      <w:spacing w:val="20"/>
      <w:w w:val="135"/>
      <w:sz w:val="28"/>
      <w:lang w:val="en-US" w:eastAsia="zh-CN"/>
    </w:rPr>
  </w:style>
  <w:style w:type="paragraph" w:customStyle="1" w:styleId="a5">
    <w:name w:val="示例"/>
    <w:next w:val="a6"/>
    <w:qFormat/>
    <w:rsid w:val="00477CC1"/>
    <w:pPr>
      <w:widowControl w:val="0"/>
      <w:spacing w:after="160" w:line="259" w:lineRule="auto"/>
      <w:ind w:left="360" w:hanging="360"/>
      <w:jc w:val="both"/>
    </w:pPr>
    <w:rPr>
      <w:rFonts w:ascii="宋体" w:eastAsiaTheme="minorEastAsia"/>
      <w:sz w:val="18"/>
      <w:szCs w:val="18"/>
      <w:lang w:val="en-US" w:eastAsia="zh-CN"/>
    </w:rPr>
  </w:style>
  <w:style w:type="paragraph" w:customStyle="1" w:styleId="a6">
    <w:name w:val="示例内容"/>
    <w:qFormat/>
    <w:rsid w:val="00477CC1"/>
    <w:pPr>
      <w:spacing w:after="160" w:line="259" w:lineRule="auto"/>
      <w:ind w:firstLineChars="200" w:firstLine="200"/>
    </w:pPr>
    <w:rPr>
      <w:rFonts w:ascii="宋体" w:eastAsiaTheme="minorEastAsia"/>
      <w:sz w:val="18"/>
      <w:szCs w:val="18"/>
      <w:lang w:val="en-US" w:eastAsia="zh-CN"/>
    </w:rPr>
  </w:style>
  <w:style w:type="paragraph" w:customStyle="1" w:styleId="a7">
    <w:name w:val="附录数字编号列项（二级）"/>
    <w:qFormat/>
    <w:rsid w:val="00477CC1"/>
    <w:pPr>
      <w:tabs>
        <w:tab w:val="left" w:pos="363"/>
        <w:tab w:val="left" w:pos="840"/>
      </w:tabs>
      <w:spacing w:after="160" w:line="259" w:lineRule="auto"/>
      <w:ind w:firstLine="363"/>
    </w:pPr>
    <w:rPr>
      <w:rFonts w:ascii="宋体" w:eastAsiaTheme="minorEastAsia"/>
      <w:sz w:val="21"/>
      <w:lang w:val="en-US" w:eastAsia="zh-CN"/>
    </w:rPr>
  </w:style>
  <w:style w:type="paragraph" w:customStyle="1" w:styleId="a8">
    <w:name w:val="标准书眉_奇数页"/>
    <w:next w:val="Normal"/>
    <w:qFormat/>
    <w:rsid w:val="00477CC1"/>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477CC1"/>
    <w:pPr>
      <w:tabs>
        <w:tab w:val="left" w:pos="1260"/>
        <w:tab w:val="left" w:pos="1678"/>
      </w:tabs>
      <w:ind w:left="1259" w:hanging="419"/>
    </w:pPr>
    <w:rPr>
      <w:rFonts w:ascii="宋体"/>
      <w:szCs w:val="21"/>
    </w:rPr>
  </w:style>
  <w:style w:type="paragraph" w:customStyle="1" w:styleId="ZU">
    <w:name w:val="ZU"/>
    <w:qFormat/>
    <w:rsid w:val="00477CC1"/>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477CC1"/>
    <w:pPr>
      <w:outlineLvl w:val="4"/>
    </w:pPr>
  </w:style>
  <w:style w:type="paragraph" w:customStyle="1" w:styleId="ab">
    <w:name w:val="二级条标题"/>
    <w:basedOn w:val="ac"/>
    <w:next w:val="a"/>
    <w:qFormat/>
    <w:rsid w:val="00477CC1"/>
    <w:pPr>
      <w:spacing w:beforeLines="0" w:afterLines="0"/>
      <w:outlineLvl w:val="3"/>
    </w:pPr>
  </w:style>
  <w:style w:type="paragraph" w:customStyle="1" w:styleId="ac">
    <w:name w:val="一级条标题"/>
    <w:next w:val="a"/>
    <w:qFormat/>
    <w:rsid w:val="00477CC1"/>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477CC1"/>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477CC1"/>
    <w:pPr>
      <w:tabs>
        <w:tab w:val="left" w:pos="720"/>
      </w:tabs>
      <w:autoSpaceDN w:val="0"/>
      <w:spacing w:beforeLines="50" w:afterLines="50"/>
      <w:ind w:left="720" w:hanging="720"/>
      <w:outlineLvl w:val="2"/>
    </w:pPr>
  </w:style>
  <w:style w:type="paragraph" w:customStyle="1" w:styleId="ae">
    <w:name w:val="附录章标题"/>
    <w:next w:val="a"/>
    <w:qFormat/>
    <w:rsid w:val="00477CC1"/>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477CC1"/>
    <w:pPr>
      <w:outlineLvl w:val="5"/>
    </w:pPr>
  </w:style>
  <w:style w:type="character" w:customStyle="1" w:styleId="FootnoteTextChar">
    <w:name w:val="Footnote Text Char"/>
    <w:basedOn w:val="DefaultParagraphFont"/>
    <w:link w:val="FootnoteText"/>
    <w:qFormat/>
    <w:rsid w:val="00477CC1"/>
    <w:rPr>
      <w:rFonts w:ascii="宋体"/>
      <w:kern w:val="2"/>
      <w:sz w:val="18"/>
      <w:szCs w:val="18"/>
    </w:rPr>
  </w:style>
  <w:style w:type="paragraph" w:customStyle="1" w:styleId="af0">
    <w:name w:val="章标题"/>
    <w:next w:val="a"/>
    <w:qFormat/>
    <w:rsid w:val="00477CC1"/>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477CC1"/>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477CC1"/>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477CC1"/>
    <w:pPr>
      <w:widowControl w:val="0"/>
      <w:autoSpaceDE w:val="0"/>
      <w:autoSpaceDN w:val="0"/>
      <w:spacing w:after="160" w:line="259" w:lineRule="auto"/>
      <w:jc w:val="both"/>
    </w:pPr>
    <w:rPr>
      <w:rFonts w:ascii="宋体" w:eastAsiaTheme="minorEastAsia"/>
      <w:sz w:val="18"/>
      <w:szCs w:val="18"/>
      <w:lang w:val="en-US" w:eastAsia="zh-CN"/>
    </w:rPr>
  </w:style>
  <w:style w:type="paragraph" w:customStyle="1" w:styleId="af3">
    <w:name w:val="附录五级条标题"/>
    <w:basedOn w:val="af4"/>
    <w:next w:val="a"/>
    <w:qFormat/>
    <w:rsid w:val="00477CC1"/>
    <w:pPr>
      <w:tabs>
        <w:tab w:val="left" w:pos="1296"/>
      </w:tabs>
      <w:ind w:left="1296" w:hanging="1296"/>
      <w:outlineLvl w:val="6"/>
    </w:pPr>
  </w:style>
  <w:style w:type="paragraph" w:customStyle="1" w:styleId="af4">
    <w:name w:val="附录四级条标题"/>
    <w:basedOn w:val="af5"/>
    <w:next w:val="a"/>
    <w:qFormat/>
    <w:rsid w:val="00477CC1"/>
    <w:pPr>
      <w:outlineLvl w:val="5"/>
    </w:pPr>
  </w:style>
  <w:style w:type="paragraph" w:customStyle="1" w:styleId="af5">
    <w:name w:val="附录三级条标题"/>
    <w:basedOn w:val="af6"/>
    <w:next w:val="a"/>
    <w:qFormat/>
    <w:rsid w:val="00477CC1"/>
    <w:pPr>
      <w:tabs>
        <w:tab w:val="left" w:pos="1008"/>
      </w:tabs>
      <w:ind w:left="1008" w:hanging="1008"/>
      <w:outlineLvl w:val="4"/>
    </w:pPr>
  </w:style>
  <w:style w:type="paragraph" w:customStyle="1" w:styleId="af6">
    <w:name w:val="附录二级条标题"/>
    <w:basedOn w:val="Normal"/>
    <w:next w:val="a"/>
    <w:qFormat/>
    <w:rsid w:val="00477CC1"/>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477CC1"/>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477CC1"/>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477CC1"/>
    <w:pPr>
      <w:spacing w:beforeLines="0" w:afterLines="0"/>
    </w:pPr>
    <w:rPr>
      <w:rFonts w:ascii="宋体" w:eastAsia="宋体"/>
    </w:rPr>
  </w:style>
  <w:style w:type="character" w:customStyle="1" w:styleId="Char1">
    <w:name w:val="纯文本 Char1"/>
    <w:basedOn w:val="DefaultParagraphFont"/>
    <w:semiHidden/>
    <w:qFormat/>
    <w:rsid w:val="00477CC1"/>
    <w:rPr>
      <w:rFonts w:ascii="宋体" w:hAnsi="Courier New" w:cs="Courier New"/>
      <w:kern w:val="2"/>
      <w:sz w:val="21"/>
      <w:szCs w:val="21"/>
    </w:rPr>
  </w:style>
  <w:style w:type="paragraph" w:customStyle="1" w:styleId="H6">
    <w:name w:val="H6"/>
    <w:basedOn w:val="Heading5"/>
    <w:next w:val="Normal"/>
    <w:qFormat/>
    <w:rsid w:val="00477CC1"/>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477CC1"/>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477CC1"/>
    <w:pPr>
      <w:jc w:val="right"/>
    </w:pPr>
  </w:style>
  <w:style w:type="paragraph" w:customStyle="1" w:styleId="afb">
    <w:name w:val="发布日期"/>
    <w:qFormat/>
    <w:rsid w:val="00477CC1"/>
    <w:pPr>
      <w:spacing w:after="160" w:line="259" w:lineRule="auto"/>
    </w:pPr>
    <w:rPr>
      <w:rFonts w:eastAsia="SimHei"/>
      <w:sz w:val="28"/>
      <w:lang w:val="en-US" w:eastAsia="zh-CN"/>
    </w:rPr>
  </w:style>
  <w:style w:type="paragraph" w:customStyle="1" w:styleId="ZG">
    <w:name w:val="ZG"/>
    <w:qFormat/>
    <w:rsid w:val="00477CC1"/>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477CC1"/>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477CC1"/>
  </w:style>
  <w:style w:type="paragraph" w:customStyle="1" w:styleId="afc">
    <w:name w:val="封面标准文稿类别"/>
    <w:basedOn w:val="afd"/>
    <w:qFormat/>
    <w:rsid w:val="00477CC1"/>
    <w:pPr>
      <w:spacing w:line="240" w:lineRule="auto"/>
    </w:pPr>
    <w:rPr>
      <w:sz w:val="24"/>
    </w:rPr>
  </w:style>
  <w:style w:type="paragraph" w:customStyle="1" w:styleId="afd">
    <w:name w:val="封面一致性程度标识"/>
    <w:basedOn w:val="afe"/>
    <w:qFormat/>
    <w:rsid w:val="00477CC1"/>
    <w:pPr>
      <w:spacing w:before="440"/>
    </w:pPr>
    <w:rPr>
      <w:rFonts w:ascii="宋体" w:eastAsia="宋体"/>
    </w:rPr>
  </w:style>
  <w:style w:type="paragraph" w:customStyle="1" w:styleId="afe">
    <w:name w:val="封面标准英文名称"/>
    <w:basedOn w:val="aff"/>
    <w:qFormat/>
    <w:rsid w:val="00477CC1"/>
    <w:pPr>
      <w:spacing w:before="370" w:line="400" w:lineRule="exact"/>
    </w:pPr>
    <w:rPr>
      <w:rFonts w:ascii="Times New Roman"/>
      <w:sz w:val="28"/>
      <w:szCs w:val="28"/>
    </w:rPr>
  </w:style>
  <w:style w:type="paragraph" w:customStyle="1" w:styleId="aff">
    <w:name w:val="封面标准名称"/>
    <w:qFormat/>
    <w:rsid w:val="00477CC1"/>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477CC1"/>
    <w:pPr>
      <w:outlineLvl w:val="6"/>
    </w:pPr>
  </w:style>
  <w:style w:type="paragraph" w:customStyle="1" w:styleId="aff1">
    <w:name w:val="封面标准代替信息"/>
    <w:qFormat/>
    <w:rsid w:val="00477CC1"/>
    <w:pPr>
      <w:spacing w:before="57" w:after="160" w:line="280" w:lineRule="exact"/>
      <w:jc w:val="right"/>
    </w:pPr>
    <w:rPr>
      <w:rFonts w:ascii="宋体" w:eastAsiaTheme="minorEastAsia"/>
      <w:sz w:val="21"/>
      <w:szCs w:val="21"/>
      <w:lang w:val="en-US" w:eastAsia="zh-CN"/>
    </w:rPr>
  </w:style>
  <w:style w:type="character" w:customStyle="1" w:styleId="CommentTextChar">
    <w:name w:val="Comment Text Char"/>
    <w:basedOn w:val="DefaultParagraphFont"/>
    <w:link w:val="CommentText"/>
    <w:semiHidden/>
    <w:qFormat/>
    <w:rsid w:val="00477CC1"/>
    <w:rPr>
      <w:kern w:val="2"/>
      <w:sz w:val="21"/>
      <w:szCs w:val="24"/>
    </w:rPr>
  </w:style>
  <w:style w:type="character" w:customStyle="1" w:styleId="Char10">
    <w:name w:val="批注主题 Char1"/>
    <w:basedOn w:val="CommentTextChar"/>
    <w:semiHidden/>
    <w:qFormat/>
    <w:rsid w:val="00477CC1"/>
    <w:rPr>
      <w:b/>
      <w:bCs/>
      <w:kern w:val="2"/>
      <w:sz w:val="21"/>
      <w:szCs w:val="24"/>
    </w:rPr>
  </w:style>
  <w:style w:type="paragraph" w:customStyle="1" w:styleId="20">
    <w:name w:val="封面标准英文名称2"/>
    <w:basedOn w:val="afe"/>
    <w:qFormat/>
    <w:rsid w:val="00477CC1"/>
  </w:style>
  <w:style w:type="paragraph" w:customStyle="1" w:styleId="21">
    <w:name w:val="封面标准号2"/>
    <w:qFormat/>
    <w:rsid w:val="00477CC1"/>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477CC1"/>
  </w:style>
  <w:style w:type="paragraph" w:customStyle="1" w:styleId="aff2">
    <w:name w:val="注×："/>
    <w:qFormat/>
    <w:rsid w:val="00477CC1"/>
    <w:pPr>
      <w:widowControl w:val="0"/>
      <w:autoSpaceDE w:val="0"/>
      <w:autoSpaceDN w:val="0"/>
      <w:spacing w:after="160" w:line="259" w:lineRule="auto"/>
      <w:ind w:left="1287" w:hanging="360"/>
      <w:jc w:val="both"/>
    </w:pPr>
    <w:rPr>
      <w:rFonts w:ascii="宋体" w:eastAsiaTheme="minorEastAsia"/>
      <w:sz w:val="18"/>
      <w:szCs w:val="18"/>
      <w:lang w:val="en-US" w:eastAsia="zh-CN"/>
    </w:rPr>
  </w:style>
  <w:style w:type="character" w:customStyle="1" w:styleId="Char11">
    <w:name w:val="正文文本 Char1"/>
    <w:basedOn w:val="DefaultParagraphFont"/>
    <w:semiHidden/>
    <w:qFormat/>
    <w:rsid w:val="00477CC1"/>
    <w:rPr>
      <w:kern w:val="2"/>
      <w:sz w:val="21"/>
      <w:szCs w:val="24"/>
    </w:rPr>
  </w:style>
  <w:style w:type="paragraph" w:customStyle="1" w:styleId="ZH">
    <w:name w:val="ZH"/>
    <w:qFormat/>
    <w:rsid w:val="00477CC1"/>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477CC1"/>
    <w:rPr>
      <w:rFonts w:ascii="宋体" w:eastAsia="宋体"/>
    </w:rPr>
  </w:style>
  <w:style w:type="paragraph" w:customStyle="1" w:styleId="aff4">
    <w:name w:val="条文脚注"/>
    <w:basedOn w:val="FootnoteText"/>
    <w:qFormat/>
    <w:rsid w:val="00477CC1"/>
    <w:pPr>
      <w:jc w:val="both"/>
    </w:pPr>
  </w:style>
  <w:style w:type="paragraph" w:customStyle="1" w:styleId="aff5">
    <w:name w:val="其他标准标志"/>
    <w:basedOn w:val="aff6"/>
    <w:qFormat/>
    <w:rsid w:val="00477CC1"/>
    <w:rPr>
      <w:w w:val="130"/>
    </w:rPr>
  </w:style>
  <w:style w:type="paragraph" w:customStyle="1" w:styleId="aff6">
    <w:name w:val="标准标志"/>
    <w:next w:val="Normal"/>
    <w:qFormat/>
    <w:rsid w:val="00477CC1"/>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477CC1"/>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477CC1"/>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477CC1"/>
    <w:pPr>
      <w:spacing w:after="160" w:line="259" w:lineRule="auto"/>
      <w:jc w:val="both"/>
    </w:pPr>
    <w:rPr>
      <w:rFonts w:eastAsiaTheme="minorEastAsia"/>
      <w:lang w:val="en-US" w:eastAsia="zh-CN"/>
    </w:rPr>
  </w:style>
  <w:style w:type="paragraph" w:customStyle="1" w:styleId="aff8">
    <w:name w:val="附录五级无"/>
    <w:basedOn w:val="af3"/>
    <w:qFormat/>
    <w:rsid w:val="00477CC1"/>
    <w:pPr>
      <w:tabs>
        <w:tab w:val="clear" w:pos="360"/>
      </w:tabs>
      <w:spacing w:beforeLines="0" w:afterLines="0"/>
    </w:pPr>
    <w:rPr>
      <w:rFonts w:ascii="宋体" w:eastAsia="宋体"/>
      <w:szCs w:val="21"/>
    </w:rPr>
  </w:style>
  <w:style w:type="paragraph" w:customStyle="1" w:styleId="aff9">
    <w:name w:val="图的脚注"/>
    <w:next w:val="a"/>
    <w:qFormat/>
    <w:rsid w:val="00477CC1"/>
    <w:pPr>
      <w:widowControl w:val="0"/>
      <w:spacing w:after="160" w:line="259" w:lineRule="auto"/>
      <w:ind w:leftChars="200" w:left="840" w:hangingChars="200" w:hanging="420"/>
      <w:jc w:val="both"/>
    </w:pPr>
    <w:rPr>
      <w:rFonts w:ascii="宋体" w:eastAsiaTheme="minorEastAsia"/>
      <w:sz w:val="18"/>
      <w:lang w:val="en-US" w:eastAsia="zh-CN"/>
    </w:rPr>
  </w:style>
  <w:style w:type="character" w:customStyle="1" w:styleId="EndnoteTextChar">
    <w:name w:val="Endnote Text Char"/>
    <w:basedOn w:val="DefaultParagraphFont"/>
    <w:link w:val="EndnoteText"/>
    <w:qFormat/>
    <w:rsid w:val="00477CC1"/>
    <w:rPr>
      <w:kern w:val="2"/>
      <w:sz w:val="21"/>
      <w:szCs w:val="24"/>
    </w:rPr>
  </w:style>
  <w:style w:type="paragraph" w:customStyle="1" w:styleId="LD">
    <w:name w:val="LD"/>
    <w:qFormat/>
    <w:rsid w:val="00477CC1"/>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477CC1"/>
    <w:pPr>
      <w:spacing w:after="160" w:line="259" w:lineRule="auto"/>
    </w:pPr>
    <w:rPr>
      <w:rFonts w:ascii="宋体" w:eastAsiaTheme="minorEastAsia"/>
      <w:sz w:val="21"/>
      <w:lang w:val="en-US" w:eastAsia="zh-CN"/>
    </w:rPr>
  </w:style>
  <w:style w:type="paragraph" w:customStyle="1" w:styleId="affb">
    <w:name w:val="附录公式编号制表符"/>
    <w:basedOn w:val="Normal"/>
    <w:next w:val="a"/>
    <w:qFormat/>
    <w:rsid w:val="00477CC1"/>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477CC1"/>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477CC1"/>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477CC1"/>
    <w:pPr>
      <w:spacing w:after="160" w:line="0" w:lineRule="atLeast"/>
      <w:jc w:val="distribute"/>
    </w:pPr>
    <w:rPr>
      <w:rFonts w:ascii="SimHei" w:eastAsia="SimHei" w:hAnsi="宋体"/>
      <w:spacing w:val="-40"/>
      <w:sz w:val="48"/>
      <w:szCs w:val="52"/>
      <w:lang w:val="en-US" w:eastAsia="zh-CN"/>
    </w:rPr>
  </w:style>
  <w:style w:type="paragraph" w:customStyle="1" w:styleId="TAH">
    <w:name w:val="TAH"/>
    <w:basedOn w:val="TAC"/>
    <w:qFormat/>
    <w:rsid w:val="00477CC1"/>
    <w:rPr>
      <w:b/>
      <w:bCs/>
      <w:szCs w:val="18"/>
    </w:rPr>
  </w:style>
  <w:style w:type="paragraph" w:customStyle="1" w:styleId="TAC">
    <w:name w:val="TAC"/>
    <w:basedOn w:val="TAL"/>
    <w:qFormat/>
    <w:rsid w:val="00477CC1"/>
    <w:pPr>
      <w:jc w:val="center"/>
    </w:pPr>
    <w:rPr>
      <w:szCs w:val="20"/>
      <w:lang w:eastAsia="en-US"/>
    </w:rPr>
  </w:style>
  <w:style w:type="paragraph" w:customStyle="1" w:styleId="affe">
    <w:name w:val="示例后文字"/>
    <w:basedOn w:val="a"/>
    <w:next w:val="a"/>
    <w:qFormat/>
    <w:rsid w:val="00477CC1"/>
    <w:pPr>
      <w:ind w:firstLine="360"/>
    </w:pPr>
    <w:rPr>
      <w:sz w:val="18"/>
    </w:rPr>
  </w:style>
  <w:style w:type="paragraph" w:customStyle="1" w:styleId="afff">
    <w:name w:val="图标脚注说明"/>
    <w:basedOn w:val="a"/>
    <w:qFormat/>
    <w:rsid w:val="00477CC1"/>
    <w:pPr>
      <w:ind w:left="840" w:firstLineChars="0" w:hanging="420"/>
    </w:pPr>
    <w:rPr>
      <w:sz w:val="18"/>
      <w:szCs w:val="18"/>
    </w:rPr>
  </w:style>
  <w:style w:type="paragraph" w:customStyle="1" w:styleId="FP">
    <w:name w:val="FP"/>
    <w:basedOn w:val="Normal"/>
    <w:qFormat/>
    <w:rsid w:val="00477CC1"/>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477CC1"/>
    <w:pPr>
      <w:tabs>
        <w:tab w:val="left" w:pos="360"/>
      </w:tabs>
      <w:ind w:left="360" w:hanging="360"/>
    </w:pPr>
    <w:rPr>
      <w:rFonts w:ascii="宋体"/>
      <w:sz w:val="18"/>
      <w:szCs w:val="18"/>
    </w:rPr>
  </w:style>
  <w:style w:type="paragraph" w:customStyle="1" w:styleId="Proposal">
    <w:name w:val="Proposal"/>
    <w:basedOn w:val="Normal"/>
    <w:qFormat/>
    <w:rsid w:val="00477CC1"/>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477CC1"/>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477CC1"/>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477CC1"/>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477CC1"/>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477CC1"/>
  </w:style>
  <w:style w:type="paragraph" w:customStyle="1" w:styleId="afff4">
    <w:name w:val="附录标识"/>
    <w:basedOn w:val="Normal"/>
    <w:next w:val="a"/>
    <w:qFormat/>
    <w:rsid w:val="00477CC1"/>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477CC1"/>
    <w:rPr>
      <w:rFonts w:ascii="宋体" w:eastAsia="宋体"/>
    </w:rPr>
  </w:style>
  <w:style w:type="paragraph" w:customStyle="1" w:styleId="afff6">
    <w:name w:val="示例×："/>
    <w:basedOn w:val="af0"/>
    <w:qFormat/>
    <w:rsid w:val="00477CC1"/>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77CC1"/>
  </w:style>
  <w:style w:type="paragraph" w:customStyle="1" w:styleId="B5">
    <w:name w:val="B5"/>
    <w:basedOn w:val="List5"/>
    <w:qFormat/>
    <w:rsid w:val="00477CC1"/>
  </w:style>
  <w:style w:type="paragraph" w:customStyle="1" w:styleId="afff7">
    <w:name w:val="其他发布日期"/>
    <w:basedOn w:val="afb"/>
    <w:qFormat/>
    <w:rsid w:val="00477CC1"/>
  </w:style>
  <w:style w:type="paragraph" w:customStyle="1" w:styleId="B4">
    <w:name w:val="B4"/>
    <w:basedOn w:val="List4"/>
    <w:link w:val="B4Char"/>
    <w:qFormat/>
    <w:rsid w:val="00477CC1"/>
  </w:style>
  <w:style w:type="paragraph" w:customStyle="1" w:styleId="NO">
    <w:name w:val="NO"/>
    <w:basedOn w:val="Normal"/>
    <w:link w:val="NOZchn"/>
    <w:qFormat/>
    <w:rsid w:val="00477CC1"/>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77CC1"/>
    <w:rPr>
      <w:color w:val="0070C0"/>
    </w:rPr>
  </w:style>
  <w:style w:type="paragraph" w:customStyle="1" w:styleId="afff8">
    <w:name w:val="注×：（正文）"/>
    <w:qFormat/>
    <w:rsid w:val="00477CC1"/>
    <w:pPr>
      <w:spacing w:after="160" w:line="259" w:lineRule="auto"/>
      <w:ind w:firstLine="363"/>
      <w:jc w:val="both"/>
    </w:pPr>
    <w:rPr>
      <w:rFonts w:ascii="宋体" w:eastAsiaTheme="minorEastAsia"/>
      <w:sz w:val="18"/>
      <w:szCs w:val="18"/>
      <w:lang w:val="en-US" w:eastAsia="zh-CN"/>
    </w:rPr>
  </w:style>
  <w:style w:type="paragraph" w:customStyle="1" w:styleId="afff9">
    <w:name w:val="附录表标号"/>
    <w:basedOn w:val="Normal"/>
    <w:next w:val="a"/>
    <w:qFormat/>
    <w:rsid w:val="00477CC1"/>
    <w:pPr>
      <w:spacing w:line="14" w:lineRule="exact"/>
      <w:ind w:left="811" w:hanging="448"/>
      <w:jc w:val="center"/>
      <w:outlineLvl w:val="0"/>
    </w:pPr>
    <w:rPr>
      <w:color w:val="FFFFFF"/>
    </w:rPr>
  </w:style>
  <w:style w:type="paragraph" w:customStyle="1" w:styleId="afffa">
    <w:name w:val="附录图标题"/>
    <w:basedOn w:val="Normal"/>
    <w:next w:val="a"/>
    <w:qFormat/>
    <w:rsid w:val="00477CC1"/>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477CC1"/>
    <w:pPr>
      <w:ind w:firstLineChars="0" w:firstLine="0"/>
      <w:jc w:val="center"/>
    </w:pPr>
    <w:rPr>
      <w:rFonts w:ascii="SimHei" w:eastAsia="SimHei"/>
    </w:rPr>
  </w:style>
  <w:style w:type="paragraph" w:customStyle="1" w:styleId="afffc">
    <w:name w:val="数字编号列项（二级）"/>
    <w:qFormat/>
    <w:rsid w:val="00477CC1"/>
    <w:pPr>
      <w:tabs>
        <w:tab w:val="left" w:pos="1260"/>
      </w:tabs>
      <w:spacing w:after="160" w:line="259" w:lineRule="auto"/>
      <w:ind w:left="1190" w:hanging="567"/>
      <w:jc w:val="both"/>
    </w:pPr>
    <w:rPr>
      <w:rFonts w:ascii="宋体" w:eastAsiaTheme="minorEastAsia"/>
      <w:sz w:val="21"/>
      <w:lang w:val="en-US" w:eastAsia="zh-CN"/>
    </w:rPr>
  </w:style>
  <w:style w:type="paragraph" w:customStyle="1" w:styleId="afffd">
    <w:name w:val="标准书眉_偶数页"/>
    <w:basedOn w:val="a8"/>
    <w:next w:val="Normal"/>
    <w:qFormat/>
    <w:rsid w:val="00477CC1"/>
    <w:pPr>
      <w:jc w:val="left"/>
    </w:pPr>
  </w:style>
  <w:style w:type="paragraph" w:customStyle="1" w:styleId="afffe">
    <w:name w:val="附录三级无"/>
    <w:basedOn w:val="af5"/>
    <w:qFormat/>
    <w:rsid w:val="00477CC1"/>
    <w:pPr>
      <w:tabs>
        <w:tab w:val="clear" w:pos="360"/>
      </w:tabs>
      <w:spacing w:beforeLines="0" w:afterLines="0"/>
    </w:pPr>
    <w:rPr>
      <w:rFonts w:ascii="宋体" w:eastAsia="宋体"/>
      <w:szCs w:val="21"/>
    </w:rPr>
  </w:style>
  <w:style w:type="paragraph" w:customStyle="1" w:styleId="TAR">
    <w:name w:val="TAR"/>
    <w:basedOn w:val="TAL"/>
    <w:qFormat/>
    <w:rsid w:val="00477CC1"/>
    <w:pPr>
      <w:jc w:val="right"/>
    </w:pPr>
    <w:rPr>
      <w:szCs w:val="20"/>
      <w:lang w:eastAsia="en-US"/>
    </w:rPr>
  </w:style>
  <w:style w:type="paragraph" w:customStyle="1" w:styleId="ZV">
    <w:name w:val="ZV"/>
    <w:basedOn w:val="ZU"/>
    <w:qFormat/>
    <w:rsid w:val="00477CC1"/>
    <w:pPr>
      <w:framePr w:wrap="notBeside" w:y="16161"/>
    </w:pPr>
  </w:style>
  <w:style w:type="paragraph" w:customStyle="1" w:styleId="affff">
    <w:name w:val="字母编号列项（一级）"/>
    <w:qFormat/>
    <w:rsid w:val="00477CC1"/>
    <w:pPr>
      <w:tabs>
        <w:tab w:val="left" w:pos="840"/>
      </w:tabs>
      <w:spacing w:after="160" w:line="259" w:lineRule="auto"/>
      <w:ind w:left="623" w:hanging="425"/>
      <w:jc w:val="both"/>
    </w:pPr>
    <w:rPr>
      <w:rFonts w:ascii="宋体" w:eastAsiaTheme="minorEastAsia"/>
      <w:sz w:val="21"/>
      <w:lang w:val="en-US" w:eastAsia="zh-CN"/>
    </w:rPr>
  </w:style>
  <w:style w:type="paragraph" w:customStyle="1" w:styleId="affff0">
    <w:name w:val="附录字母编号列项（一级）"/>
    <w:qFormat/>
    <w:rsid w:val="00477CC1"/>
    <w:pPr>
      <w:tabs>
        <w:tab w:val="left" w:pos="839"/>
      </w:tabs>
      <w:spacing w:after="160" w:line="259" w:lineRule="auto"/>
      <w:ind w:firstLine="363"/>
    </w:pPr>
    <w:rPr>
      <w:rFonts w:ascii="宋体" w:eastAsiaTheme="minorEastAsia"/>
      <w:sz w:val="21"/>
      <w:lang w:val="en-US" w:eastAsia="zh-CN"/>
    </w:rPr>
  </w:style>
  <w:style w:type="paragraph" w:customStyle="1" w:styleId="NW">
    <w:name w:val="NW"/>
    <w:basedOn w:val="NO"/>
    <w:qFormat/>
    <w:rsid w:val="00477CC1"/>
    <w:pPr>
      <w:spacing w:after="0"/>
    </w:pPr>
    <w:rPr>
      <w:rFonts w:eastAsia="MS Mincho"/>
      <w:lang w:eastAsia="en-US"/>
    </w:rPr>
  </w:style>
  <w:style w:type="paragraph" w:customStyle="1" w:styleId="affff1">
    <w:name w:val="目次、索引正文"/>
    <w:qFormat/>
    <w:rsid w:val="00477CC1"/>
    <w:pPr>
      <w:spacing w:after="160" w:line="320" w:lineRule="exact"/>
      <w:jc w:val="both"/>
    </w:pPr>
    <w:rPr>
      <w:rFonts w:ascii="宋体" w:eastAsiaTheme="minorEastAsia"/>
      <w:sz w:val="21"/>
      <w:lang w:val="en-US" w:eastAsia="zh-CN"/>
    </w:rPr>
  </w:style>
  <w:style w:type="paragraph" w:customStyle="1" w:styleId="affff2">
    <w:name w:val="标准称谓"/>
    <w:next w:val="Normal"/>
    <w:qFormat/>
    <w:rsid w:val="00477CC1"/>
    <w:pPr>
      <w:widowControl w:val="0"/>
      <w:kinsoku w:val="0"/>
      <w:overflowPunct w:val="0"/>
      <w:autoSpaceDE w:val="0"/>
      <w:autoSpaceDN w:val="0"/>
      <w:spacing w:after="160" w:line="0" w:lineRule="atLeast"/>
      <w:jc w:val="distribute"/>
    </w:pPr>
    <w:rPr>
      <w:rFonts w:ascii="宋体" w:eastAsiaTheme="minorEastAsia"/>
      <w:b/>
      <w:bCs/>
      <w:spacing w:val="20"/>
      <w:w w:val="148"/>
      <w:sz w:val="48"/>
      <w:lang w:val="en-US" w:eastAsia="zh-CN"/>
    </w:rPr>
  </w:style>
  <w:style w:type="paragraph" w:customStyle="1" w:styleId="affff3">
    <w:name w:val="二级无"/>
    <w:basedOn w:val="ab"/>
    <w:qFormat/>
    <w:rsid w:val="00477CC1"/>
    <w:rPr>
      <w:rFonts w:ascii="宋体" w:eastAsia="宋体"/>
    </w:rPr>
  </w:style>
  <w:style w:type="paragraph" w:customStyle="1" w:styleId="affff4">
    <w:name w:val="列项说明"/>
    <w:basedOn w:val="Normal"/>
    <w:qFormat/>
    <w:rsid w:val="00477CC1"/>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477CC1"/>
    <w:pPr>
      <w:tabs>
        <w:tab w:val="left" w:pos="840"/>
      </w:tabs>
      <w:ind w:left="839" w:hanging="419"/>
    </w:pPr>
  </w:style>
  <w:style w:type="paragraph" w:customStyle="1" w:styleId="MiniHeading">
    <w:name w:val="MiniHeading"/>
    <w:basedOn w:val="Comments"/>
    <w:qFormat/>
    <w:rsid w:val="00477CC1"/>
    <w:pPr>
      <w:spacing w:before="180"/>
    </w:pPr>
    <w:rPr>
      <w:u w:val="single"/>
      <w:lang w:val="en-US" w:eastAsia="zh-CN"/>
    </w:rPr>
  </w:style>
  <w:style w:type="paragraph" w:customStyle="1" w:styleId="EditorsNote">
    <w:name w:val="Editor's Note"/>
    <w:basedOn w:val="NO"/>
    <w:link w:val="EditorsNoteChar"/>
    <w:qFormat/>
    <w:rsid w:val="00477CC1"/>
    <w:rPr>
      <w:rFonts w:eastAsia="MS Mincho"/>
      <w:color w:val="FF0000"/>
      <w:lang w:eastAsia="en-US"/>
    </w:rPr>
  </w:style>
  <w:style w:type="paragraph" w:customStyle="1" w:styleId="affff6">
    <w:name w:val="终结线"/>
    <w:basedOn w:val="Normal"/>
    <w:qFormat/>
    <w:rsid w:val="00477CC1"/>
  </w:style>
  <w:style w:type="paragraph" w:customStyle="1" w:styleId="affff7">
    <w:name w:val="五级无"/>
    <w:basedOn w:val="aff0"/>
    <w:qFormat/>
    <w:rsid w:val="00477CC1"/>
    <w:rPr>
      <w:rFonts w:ascii="宋体" w:eastAsia="宋体"/>
    </w:rPr>
  </w:style>
  <w:style w:type="paragraph" w:customStyle="1" w:styleId="affff8">
    <w:name w:val="正文公式编号制表符"/>
    <w:basedOn w:val="a"/>
    <w:next w:val="a"/>
    <w:qFormat/>
    <w:rsid w:val="00477CC1"/>
    <w:pPr>
      <w:ind w:firstLineChars="0" w:firstLine="0"/>
    </w:pPr>
  </w:style>
  <w:style w:type="paragraph" w:customStyle="1" w:styleId="affff9">
    <w:name w:val="列项——（一级）"/>
    <w:qFormat/>
    <w:rsid w:val="00477CC1"/>
    <w:pPr>
      <w:widowControl w:val="0"/>
      <w:tabs>
        <w:tab w:val="left" w:pos="839"/>
      </w:tabs>
      <w:spacing w:after="160" w:line="259" w:lineRule="auto"/>
      <w:ind w:left="839" w:hanging="419"/>
      <w:jc w:val="both"/>
    </w:pPr>
    <w:rPr>
      <w:rFonts w:ascii="宋体" w:eastAsiaTheme="minorEastAsia"/>
      <w:sz w:val="21"/>
      <w:lang w:val="en-US" w:eastAsia="zh-CN"/>
    </w:rPr>
  </w:style>
  <w:style w:type="paragraph" w:customStyle="1" w:styleId="23">
    <w:name w:val="封面标准文稿编辑信息2"/>
    <w:basedOn w:val="affffa"/>
    <w:qFormat/>
    <w:rsid w:val="00477CC1"/>
  </w:style>
  <w:style w:type="paragraph" w:customStyle="1" w:styleId="affffa">
    <w:name w:val="封面标准文稿编辑信息"/>
    <w:basedOn w:val="afc"/>
    <w:qFormat/>
    <w:rsid w:val="00477CC1"/>
    <w:pPr>
      <w:spacing w:before="180" w:line="180" w:lineRule="exact"/>
    </w:pPr>
    <w:rPr>
      <w:sz w:val="21"/>
    </w:rPr>
  </w:style>
  <w:style w:type="paragraph" w:customStyle="1" w:styleId="PL">
    <w:name w:val="PL"/>
    <w:qFormat/>
    <w:rsid w:val="0047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477CC1"/>
    <w:pPr>
      <w:keepNext/>
      <w:spacing w:after="0"/>
    </w:pPr>
    <w:rPr>
      <w:rFonts w:ascii="Arial" w:eastAsia="MS Mincho" w:hAnsi="Arial"/>
      <w:sz w:val="18"/>
      <w:lang w:eastAsia="en-US"/>
    </w:rPr>
  </w:style>
  <w:style w:type="paragraph" w:customStyle="1" w:styleId="Style1">
    <w:name w:val="Style1"/>
    <w:basedOn w:val="Heading4"/>
    <w:qFormat/>
    <w:rsid w:val="00477CC1"/>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477CC1"/>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477CC1"/>
    <w:pPr>
      <w:tabs>
        <w:tab w:val="left" w:pos="760"/>
        <w:tab w:val="left" w:pos="840"/>
      </w:tabs>
      <w:spacing w:after="160" w:line="259" w:lineRule="auto"/>
      <w:ind w:left="839" w:hanging="419"/>
      <w:jc w:val="both"/>
    </w:pPr>
    <w:rPr>
      <w:rFonts w:ascii="宋体" w:eastAsiaTheme="minorEastAsia"/>
      <w:sz w:val="21"/>
      <w:lang w:val="en-US" w:eastAsia="zh-CN"/>
    </w:rPr>
  </w:style>
  <w:style w:type="paragraph" w:customStyle="1" w:styleId="24">
    <w:name w:val="封面标准名称2"/>
    <w:basedOn w:val="aff"/>
    <w:qFormat/>
    <w:rsid w:val="00477CC1"/>
    <w:pPr>
      <w:spacing w:beforeLines="630"/>
    </w:pPr>
  </w:style>
  <w:style w:type="paragraph" w:customStyle="1" w:styleId="affffc">
    <w:name w:val="前言、引言标题"/>
    <w:next w:val="a"/>
    <w:qFormat/>
    <w:rsid w:val="00477CC1"/>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477CC1"/>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477CC1"/>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477CC1"/>
    <w:pPr>
      <w:spacing w:after="160" w:line="259" w:lineRule="auto"/>
    </w:pPr>
    <w:rPr>
      <w:rFonts w:ascii="Arial" w:eastAsia="MS Mincho" w:hAnsi="Arial"/>
      <w:szCs w:val="24"/>
      <w:lang w:val="en-GB" w:eastAsia="en-GB"/>
    </w:rPr>
  </w:style>
  <w:style w:type="paragraph" w:customStyle="1" w:styleId="ZTD">
    <w:name w:val="ZTD"/>
    <w:basedOn w:val="ZB"/>
    <w:qFormat/>
    <w:rsid w:val="00477CC1"/>
    <w:pPr>
      <w:framePr w:hRule="auto" w:wrap="notBeside" w:y="852"/>
    </w:pPr>
    <w:rPr>
      <w:i w:val="0"/>
      <w:sz w:val="40"/>
    </w:rPr>
  </w:style>
  <w:style w:type="paragraph" w:customStyle="1" w:styleId="affffd">
    <w:name w:val="附录表标题"/>
    <w:basedOn w:val="Normal"/>
    <w:next w:val="a"/>
    <w:qFormat/>
    <w:rsid w:val="00477CC1"/>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477CC1"/>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477CC1"/>
    <w:pPr>
      <w:spacing w:before="120" w:after="160" w:line="259" w:lineRule="auto"/>
      <w:ind w:right="198"/>
      <w:jc w:val="right"/>
    </w:pPr>
    <w:rPr>
      <w:rFonts w:ascii="宋体" w:eastAsiaTheme="minorEastAsia"/>
      <w:sz w:val="18"/>
      <w:szCs w:val="18"/>
      <w:lang w:val="en-US" w:eastAsia="zh-CN"/>
    </w:rPr>
  </w:style>
  <w:style w:type="paragraph" w:customStyle="1" w:styleId="afffff0">
    <w:name w:val="附录二级无"/>
    <w:basedOn w:val="af6"/>
    <w:qFormat/>
    <w:rsid w:val="00477CC1"/>
    <w:pPr>
      <w:tabs>
        <w:tab w:val="clear" w:pos="360"/>
      </w:tabs>
      <w:spacing w:beforeLines="0" w:afterLines="0"/>
    </w:pPr>
    <w:rPr>
      <w:rFonts w:ascii="宋体" w:eastAsia="宋体"/>
      <w:szCs w:val="21"/>
    </w:rPr>
  </w:style>
  <w:style w:type="paragraph" w:customStyle="1" w:styleId="afffff1">
    <w:name w:val="附录一级无"/>
    <w:basedOn w:val="ad"/>
    <w:qFormat/>
    <w:rsid w:val="00477CC1"/>
    <w:pPr>
      <w:tabs>
        <w:tab w:val="clear" w:pos="360"/>
      </w:tabs>
      <w:spacing w:beforeLines="0" w:afterLines="0"/>
    </w:pPr>
    <w:rPr>
      <w:rFonts w:ascii="宋体" w:eastAsia="宋体"/>
      <w:szCs w:val="21"/>
    </w:rPr>
  </w:style>
  <w:style w:type="paragraph" w:customStyle="1" w:styleId="afffff2">
    <w:name w:val="列项说明数字编号"/>
    <w:qFormat/>
    <w:rsid w:val="00477CC1"/>
    <w:pPr>
      <w:spacing w:after="160" w:line="259" w:lineRule="auto"/>
      <w:ind w:leftChars="400" w:left="600" w:hangingChars="200" w:hanging="200"/>
    </w:pPr>
    <w:rPr>
      <w:rFonts w:ascii="宋体" w:eastAsiaTheme="minorEastAsia"/>
      <w:sz w:val="21"/>
      <w:lang w:val="en-US" w:eastAsia="zh-CN"/>
    </w:rPr>
  </w:style>
  <w:style w:type="paragraph" w:customStyle="1" w:styleId="afffff3">
    <w:name w:val="目次、标准名称标题"/>
    <w:basedOn w:val="Normal"/>
    <w:next w:val="a"/>
    <w:qFormat/>
    <w:rsid w:val="00477CC1"/>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477CC1"/>
    <w:pPr>
      <w:ind w:left="851" w:hanging="851"/>
    </w:pPr>
    <w:rPr>
      <w:szCs w:val="20"/>
      <w:lang w:eastAsia="en-US"/>
    </w:rPr>
  </w:style>
  <w:style w:type="paragraph" w:customStyle="1" w:styleId="afffff4">
    <w:name w:val="封面正文"/>
    <w:qFormat/>
    <w:rsid w:val="00477CC1"/>
    <w:pPr>
      <w:spacing w:after="160" w:line="259" w:lineRule="auto"/>
      <w:jc w:val="both"/>
    </w:pPr>
    <w:rPr>
      <w:rFonts w:eastAsiaTheme="minorEastAsia"/>
      <w:lang w:val="en-US" w:eastAsia="zh-CN"/>
    </w:rPr>
  </w:style>
  <w:style w:type="paragraph" w:customStyle="1" w:styleId="2Char">
    <w:name w:val="2 Char"/>
    <w:semiHidden/>
    <w:qFormat/>
    <w:rsid w:val="00477CC1"/>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477CC1"/>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477CC1"/>
    <w:pPr>
      <w:spacing w:before="120" w:after="160" w:line="259" w:lineRule="auto"/>
      <w:ind w:left="221"/>
    </w:pPr>
    <w:rPr>
      <w:rFonts w:ascii="宋体" w:eastAsiaTheme="minorEastAsia"/>
      <w:sz w:val="18"/>
      <w:szCs w:val="18"/>
      <w:lang w:val="en-US" w:eastAsia="zh-CN"/>
    </w:rPr>
  </w:style>
  <w:style w:type="paragraph" w:customStyle="1" w:styleId="EW">
    <w:name w:val="EW"/>
    <w:basedOn w:val="EX"/>
    <w:qFormat/>
    <w:rsid w:val="00477CC1"/>
    <w:pPr>
      <w:spacing w:after="0"/>
    </w:pPr>
  </w:style>
  <w:style w:type="paragraph" w:customStyle="1" w:styleId="1">
    <w:name w:val="封面标准号1"/>
    <w:qFormat/>
    <w:rsid w:val="00477CC1"/>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477CC1"/>
    <w:rPr>
      <w:rFonts w:ascii="Arial" w:eastAsia="Times New Roman" w:hAnsi="Arial"/>
      <w:lang w:val="en-GB" w:eastAsia="en-US"/>
    </w:rPr>
  </w:style>
  <w:style w:type="paragraph" w:customStyle="1" w:styleId="Observation">
    <w:name w:val="Observation"/>
    <w:basedOn w:val="Proposal"/>
    <w:qFormat/>
    <w:rsid w:val="00477CC1"/>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477CC1"/>
    <w:rPr>
      <w:kern w:val="2"/>
      <w:sz w:val="21"/>
      <w:szCs w:val="24"/>
    </w:rPr>
  </w:style>
  <w:style w:type="character" w:customStyle="1" w:styleId="B3Char">
    <w:name w:val="B3 Char"/>
    <w:basedOn w:val="DefaultParagraphFont"/>
    <w:qFormat/>
    <w:rsid w:val="00477CC1"/>
    <w:rPr>
      <w:lang w:val="en-GB"/>
    </w:rPr>
  </w:style>
  <w:style w:type="character" w:customStyle="1" w:styleId="B4Char">
    <w:name w:val="B4 Char"/>
    <w:link w:val="B4"/>
    <w:qFormat/>
    <w:rsid w:val="00477CC1"/>
    <w:rPr>
      <w:rFonts w:eastAsia="MS Mincho"/>
      <w:lang w:val="en-GB" w:eastAsia="en-US"/>
    </w:rPr>
  </w:style>
  <w:style w:type="paragraph" w:customStyle="1" w:styleId="Guidance">
    <w:name w:val="Guidance"/>
    <w:basedOn w:val="Normal"/>
    <w:link w:val="GuidanceChar"/>
    <w:qFormat/>
    <w:rsid w:val="00477CC1"/>
    <w:pPr>
      <w:widowControl/>
      <w:spacing w:after="180"/>
      <w:jc w:val="left"/>
    </w:pPr>
    <w:rPr>
      <w:i/>
      <w:color w:val="0000FF"/>
      <w:kern w:val="0"/>
      <w:sz w:val="20"/>
      <w:szCs w:val="20"/>
      <w:lang w:val="en-GB" w:eastAsia="en-US"/>
    </w:rPr>
  </w:style>
  <w:style w:type="character" w:customStyle="1" w:styleId="B1Zchn">
    <w:name w:val="B1 Zchn"/>
    <w:qFormat/>
    <w:rsid w:val="00477CC1"/>
    <w:rPr>
      <w:lang w:eastAsia="en-US"/>
    </w:rPr>
  </w:style>
  <w:style w:type="character" w:customStyle="1" w:styleId="NOZchn">
    <w:name w:val="NO Zchn"/>
    <w:link w:val="NO"/>
    <w:qFormat/>
    <w:rsid w:val="00477CC1"/>
    <w:rPr>
      <w:lang w:val="en-GB" w:eastAsia="ja-JP"/>
    </w:rPr>
  </w:style>
  <w:style w:type="character" w:customStyle="1" w:styleId="GuidanceChar">
    <w:name w:val="Guidance Char"/>
    <w:link w:val="Guidance"/>
    <w:qFormat/>
    <w:rsid w:val="00477CC1"/>
    <w:rPr>
      <w:i/>
      <w:color w:val="0000FF"/>
      <w:lang w:val="en-GB" w:eastAsia="en-US"/>
    </w:rPr>
  </w:style>
  <w:style w:type="character" w:customStyle="1" w:styleId="EditorsNoteChar">
    <w:name w:val="Editor's Note Char"/>
    <w:link w:val="EditorsNote"/>
    <w:qFormat/>
    <w:rsid w:val="00477CC1"/>
    <w:rPr>
      <w:rFonts w:eastAsia="MS Mincho"/>
      <w:color w:val="FF0000"/>
      <w:lang w:val="en-GB" w:eastAsia="en-US"/>
    </w:rPr>
  </w:style>
  <w:style w:type="paragraph" w:customStyle="1" w:styleId="ListParagraph2">
    <w:name w:val="List Paragraph2"/>
    <w:basedOn w:val="Normal"/>
    <w:uiPriority w:val="34"/>
    <w:qFormat/>
    <w:rsid w:val="00477CC1"/>
    <w:pPr>
      <w:spacing w:after="0"/>
      <w:ind w:firstLine="420"/>
    </w:pPr>
    <w:rPr>
      <w:rFonts w:ascii="Calibri" w:eastAsia="宋体" w:hAnsi="Calibri" w:cs="宋体"/>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C04D5D-B07D-42BB-862E-BEC302C7C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1840</Words>
  <Characters>10493</Characters>
  <Application>Microsoft Office Word</Application>
  <DocSecurity>0</DocSecurity>
  <Lines>87</Lines>
  <Paragraphs>24</Paragraphs>
  <ScaleCrop>false</ScaleCrop>
  <Company/>
  <LinksUpToDate>false</LinksUpToDate>
  <CharactersWithSpaces>12309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8</cp:revision>
  <cp:lastPrinted>2113-01-01T00:00:00Z</cp:lastPrinted>
  <dcterms:created xsi:type="dcterms:W3CDTF">2019-02-15T06:31:00Z</dcterms:created>
  <dcterms:modified xsi:type="dcterms:W3CDTF">2019-02-15T07:20:00Z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